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595959"/>
          <w:sz w:val="20"/>
          <w:szCs w:val="20"/>
        </w:rPr>
        <w:t xml:space="preserve">INFOTACT SOLUTIONS</w:t>
      </w:r>
    </w:p>
    <w:p>
      <w:pPr>
        <w:spacing w:after="200" w:before="1200"/>
      </w:pPr>
      <w:r>
        <w:rPr>
          <w:b/>
          <w:bCs/>
          <w:color w:val="1F3864"/>
          <w:sz w:val="56"/>
          <w:szCs w:val="56"/>
        </w:rPr>
        <w:t xml:space="preserve">QuantumVault</w:t>
      </w:r>
    </w:p>
    <w:p>
      <w:pPr>
        <w:spacing w:after="400"/>
      </w:pPr>
      <w:r>
        <w:rPr>
          <w:i/>
          <w:iCs/>
          <w:color w:val="2E74B5"/>
          <w:sz w:val="28"/>
          <w:szCs w:val="28"/>
        </w:rPr>
        <w:t xml:space="preserve">Post-Quantum Cryptography (PQC) Local Filesystem</w:t>
      </w:r>
    </w:p>
    <w:p>
      <w:pPr>
        <w:spacing w:after="100"/>
      </w:pPr>
      <w:r>
        <w:rPr>
          <w:b/>
          <w:bCs/>
          <w:color w:val="222222"/>
          <w:sz w:val="24"/>
          <w:szCs w:val="24"/>
        </w:rPr>
        <w:t xml:space="preserve">PRODUCT REQUIREMENTS DOCUMENT (PRD)</w:t>
      </w:r>
    </w:p>
    <w:p>
      <w:pPr>
        <w:spacing w:after="1600"/>
      </w:pPr>
      <w:r>
        <w:rPr>
          <w:color w:val="595959"/>
          <w:sz w:val="20"/>
          <w:szCs w:val="20"/>
        </w:rPr>
        <w:t xml:space="preserve">Version 1.0  |  Cybersecurity Domain  |  Team-Based Execution</w:t>
      </w:r>
    </w:p>
    <w:p>
      <w:pPr>
        <w:spacing w:after="100"/>
      </w:pPr>
      <w:r>
        <w:rPr>
          <w:b/>
          <w:bCs/>
          <w:color w:val="1F3864"/>
          <w:sz w:val="22"/>
          <w:szCs w:val="22"/>
        </w:rPr>
        <w:t xml:space="preserve">Domain: </w:t>
      </w:r>
      <w:r>
        <w:rPr>
          <w:sz w:val="22"/>
          <w:szCs w:val="22"/>
        </w:rPr>
        <w:t xml:space="preserve">Applied Cryptography / Data Security</w:t>
      </w:r>
    </w:p>
    <w:p>
      <w:pPr>
        <w:spacing w:after="100"/>
      </w:pPr>
      <w:r>
        <w:rPr>
          <w:b/>
          <w:bCs/>
          <w:color w:val="1F3864"/>
          <w:sz w:val="22"/>
          <w:szCs w:val="22"/>
        </w:rPr>
        <w:t xml:space="preserve">Program Reference: </w:t>
      </w:r>
      <w:r>
        <w:rPr>
          <w:sz w:val="22"/>
          <w:szCs w:val="22"/>
        </w:rPr>
        <w:t xml:space="preserve">Infotact Solutions – Advanced Cybersecurity Engineering (Vol. II), Project 3</w:t>
      </w:r>
    </w:p>
    <w:p>
      <w:pPr>
        <w:spacing w:after="100"/>
      </w:pPr>
      <w:r>
        <w:rPr>
          <w:b/>
          <w:bCs/>
          <w:color w:val="1F3864"/>
          <w:sz w:val="22"/>
          <w:szCs w:val="22"/>
        </w:rPr>
        <w:t xml:space="preserve">Governing SOP: </w:t>
      </w:r>
      <w:r>
        <w:rPr>
          <w:sz w:val="22"/>
          <w:szCs w:val="22"/>
        </w:rPr>
        <w:t xml:space="preserve">Infotact Project Execution Handbook V1.0</w:t>
      </w:r>
    </w:p>
    <w:p>
      <w:pPr>
        <w:spacing w:after="100"/>
      </w:pPr>
      <w:r>
        <w:rPr>
          <w:b/>
          <w:bCs/>
          <w:color w:val="1F3864"/>
          <w:sz w:val="22"/>
          <w:szCs w:val="22"/>
        </w:rPr>
        <w:t xml:space="preserve">Duration: </w:t>
      </w:r>
      <w:r>
        <w:rPr>
          <w:sz w:val="22"/>
          <w:szCs w:val="22"/>
        </w:rPr>
        <w:t xml:space="preserve">1 Month (4 Weeks) — per SOP Month cycle</w:t>
      </w:r>
    </w:p>
    <w:p>
      <w:pPr>
        <w:spacing w:after="100"/>
      </w:pPr>
      <w:r>
        <w:rPr>
          <w:b/>
          <w:bCs/>
          <w:color w:val="1F3864"/>
          <w:sz w:val="22"/>
          <w:szCs w:val="22"/>
        </w:rPr>
        <w:t xml:space="preserve">Prepared For: </w:t>
      </w:r>
      <w:r>
        <w:rPr>
          <w:sz w:val="22"/>
          <w:szCs w:val="22"/>
        </w:rPr>
        <w:t xml:space="preserve">Intern Team assigned to QuantumVault</w:t>
      </w:r>
    </w:p>
    <w:p>
      <w:r>
        <w:br w:type="page"/>
      </w:r>
    </w:p>
    <w:p>
      <w:pPr>
        <w:pStyle w:val="Heading1"/>
        <w:pBdr>
          <w:bottom w:val="single" w:color="2E74B5" w:sz="6" w:space="4"/>
        </w:pBdr>
        <w:spacing w:after="200" w:before="400"/>
      </w:pPr>
      <w:r>
        <w:rPr>
          <w:b/>
          <w:bCs/>
          <w:color w:val="1F3864"/>
          <w:sz w:val="30"/>
          <w:szCs w:val="30"/>
        </w:rPr>
        <w:t xml:space="preserve">1. Executive Summary</w:t>
      </w:r>
    </w:p>
    <w:p>
      <w:pPr>
        <w:spacing w:after="160" w:line="276"/>
      </w:pPr>
      <w:r>
        <w:rPr>
          <w:color w:val="222222"/>
          <w:sz w:val="22"/>
          <w:szCs w:val="22"/>
        </w:rPr>
        <w:t xml:space="preserve">QuantumVault is a locally-hosted, quantum-resistant encrypted filesystem. It presents itself to the Linux operating system as an ordinary mounted drive, but every file written to it is transparently encrypted using NIST-approved post-quantum cryptographic algorithms before it ever touches physical disk. The goal is to close the “Harvest Now, Decrypt Later” gap: data an attacker exfiltrates and stores today should remain unreadable even after large-scale quantum computers become viable.</w:t>
      </w:r>
    </w:p>
    <w:p>
      <w:pPr>
        <w:spacing w:after="160" w:line="276"/>
      </w:pPr>
      <w:r>
        <w:rPr>
          <w:color w:val="222222"/>
          <w:sz w:val="22"/>
          <w:szCs w:val="22"/>
        </w:rPr>
        <w:t xml:space="preserve">This PRD defines what QuantumVault must do, for whom, and how success will be measured. It is the single source of truth for scope during the 4-week build cycle defined in the Infotact SOP, and is paired with a separate Implementation Guide that describes exactly how the team should execute, branch, and commit.</w:t>
      </w:r>
    </w:p>
    <w:p>
      <w:pPr>
        <w:pStyle w:val="Heading1"/>
        <w:pBdr>
          <w:bottom w:val="single" w:color="2E74B5" w:sz="6" w:space="4"/>
        </w:pBdr>
        <w:spacing w:after="200" w:before="400"/>
      </w:pPr>
      <w:r>
        <w:rPr>
          <w:b/>
          <w:bCs/>
          <w:color w:val="1F3864"/>
          <w:sz w:val="30"/>
          <w:szCs w:val="30"/>
        </w:rPr>
        <w:t xml:space="preserve">2. Problem Statement</w:t>
      </w:r>
    </w:p>
    <w:p>
      <w:pPr>
        <w:spacing w:after="160" w:line="276"/>
      </w:pPr>
      <w:r>
        <w:rPr>
          <w:color w:val="222222"/>
          <w:sz w:val="22"/>
          <w:szCs w:val="22"/>
        </w:rPr>
        <w:t xml:space="preserve">Standard encryption (RSA, ECC/AES key exchange) relies on the mathematical difficulty of factoring large numbers or solving discrete logarithms. Shor's Algorithm, once run on a sufficiently powerful quantum computer, breaks both in polynomial time. Nation-state actors are already stealing encrypted corporate data today and archiving it, betting that decryption will become trivial within the next 10–15 years — a strategy known as “Harvest Now, Decrypt Later.”</w:t>
      </w:r>
    </w:p>
    <w:p>
      <w:pPr>
        <w:spacing w:after="160" w:line="276"/>
      </w:pPr>
      <w:r>
        <w:rPr>
          <w:color w:val="222222"/>
          <w:sz w:val="22"/>
          <w:szCs w:val="22"/>
        </w:rPr>
        <w:t xml:space="preserve">Executives, researchers, and engineers who store highly classified or proprietary material locally have no simple, transparent way to protect files against this future threat without adopting complex, error-prone tooling.</w:t>
      </w:r>
    </w:p>
    <w:p>
      <w:pPr>
        <w:pStyle w:val="Heading1"/>
        <w:pBdr>
          <w:bottom w:val="single" w:color="2E74B5" w:sz="6" w:space="4"/>
        </w:pBdr>
        <w:spacing w:after="200" w:before="400"/>
      </w:pPr>
      <w:r>
        <w:rPr>
          <w:b/>
          <w:bCs/>
          <w:color w:val="1F3864"/>
          <w:sz w:val="30"/>
          <w:szCs w:val="30"/>
        </w:rPr>
        <w:t xml:space="preserve">3. Goals &amp; Success Metrics</w:t>
      </w:r>
    </w:p>
    <w:p>
      <w:pPr>
        <w:pStyle w:val="Heading2"/>
        <w:spacing w:after="140" w:before="280"/>
      </w:pPr>
      <w:r>
        <w:rPr>
          <w:b/>
          <w:bCs/>
          <w:color w:val="2E74B5"/>
          <w:sz w:val="24"/>
          <w:szCs w:val="24"/>
        </w:rPr>
        <w:t xml:space="preserve">3.1 Goals</w:t>
      </w:r>
    </w:p>
    <w:p>
      <w:pPr>
        <w:pStyle w:val="ListParagraph"/>
        <w:numPr>
          <w:ilvl w:val="0"/>
          <w:numId w:val="2"/>
        </w:numPr>
        <w:spacing w:after="90"/>
      </w:pPr>
      <w:r>
        <w:rPr>
          <w:color w:val="222222"/>
          <w:sz w:val="22"/>
          <w:szCs w:val="22"/>
        </w:rPr>
        <w:t xml:space="preserve">Provide a mountable, FUSE-based virtual drive that is indistinguishable from a normal folder to the end user.</w:t>
      </w:r>
    </w:p>
    <w:p>
      <w:pPr>
        <w:pStyle w:val="ListParagraph"/>
        <w:numPr>
          <w:ilvl w:val="0"/>
          <w:numId w:val="2"/>
        </w:numPr>
        <w:spacing w:after="90"/>
      </w:pPr>
      <w:r>
        <w:rPr>
          <w:color w:val="222222"/>
          <w:sz w:val="22"/>
          <w:szCs w:val="22"/>
        </w:rPr>
        <w:t xml:space="preserve">Encrypt every file transparently using CRYSTALS-Kyber (NIST PQC standard) for key encapsulation.</w:t>
      </w:r>
    </w:p>
    <w:p>
      <w:pPr>
        <w:pStyle w:val="ListParagraph"/>
        <w:numPr>
          <w:ilvl w:val="0"/>
          <w:numId w:val="2"/>
        </w:numPr>
        <w:spacing w:after="90"/>
      </w:pPr>
      <w:r>
        <w:rPr>
          <w:color w:val="222222"/>
          <w:sz w:val="22"/>
          <w:szCs w:val="22"/>
        </w:rPr>
        <w:t xml:space="preserve">Guarantee file integrity and authenticity using CRYSTALS-Dilithium digital signatures.</w:t>
      </w:r>
    </w:p>
    <w:p>
      <w:pPr>
        <w:pStyle w:val="ListParagraph"/>
        <w:numPr>
          <w:ilvl w:val="0"/>
          <w:numId w:val="2"/>
        </w:numPr>
        <w:spacing w:after="90"/>
      </w:pPr>
      <w:r>
        <w:rPr>
          <w:color w:val="222222"/>
          <w:sz w:val="22"/>
          <w:szCs w:val="22"/>
        </w:rPr>
        <w:t xml:space="preserve">Ensure private key material is never written unencrypted to swap/paging disk (memory-hardening).</w:t>
      </w:r>
    </w:p>
    <w:p>
      <w:pPr>
        <w:pStyle w:val="ListParagraph"/>
        <w:numPr>
          <w:ilvl w:val="0"/>
          <w:numId w:val="2"/>
        </w:numPr>
        <w:spacing w:after="90"/>
      </w:pPr>
      <w:r>
        <w:rPr>
          <w:color w:val="222222"/>
          <w:sz w:val="22"/>
          <w:szCs w:val="22"/>
        </w:rPr>
        <w:t xml:space="preserve">Ship a clean CLI to initialize, mount, unmount, and manage cryptographic identities.</w:t>
      </w:r>
    </w:p>
    <w:p>
      <w:pPr>
        <w:pStyle w:val="Heading2"/>
        <w:spacing w:after="140" w:before="280"/>
      </w:pPr>
      <w:r>
        <w:rPr>
          <w:b/>
          <w:bCs/>
          <w:color w:val="2E74B5"/>
          <w:sz w:val="24"/>
          <w:szCs w:val="24"/>
        </w:rPr>
        <w:t xml:space="preserve">3.2 Non-Goals (Out of Scope for this cycle)</w:t>
      </w:r>
    </w:p>
    <w:p>
      <w:pPr>
        <w:pStyle w:val="ListParagraph"/>
        <w:numPr>
          <w:ilvl w:val="0"/>
          <w:numId w:val="2"/>
        </w:numPr>
        <w:spacing w:after="90"/>
      </w:pPr>
      <w:r>
        <w:rPr>
          <w:color w:val="222222"/>
          <w:sz w:val="22"/>
          <w:szCs w:val="22"/>
        </w:rPr>
        <w:t xml:space="preserve">Multi-user / networked access control (single local user only).</w:t>
      </w:r>
    </w:p>
    <w:p>
      <w:pPr>
        <w:pStyle w:val="ListParagraph"/>
        <w:numPr>
          <w:ilvl w:val="0"/>
          <w:numId w:val="2"/>
        </w:numPr>
        <w:spacing w:after="90"/>
      </w:pPr>
      <w:r>
        <w:rPr>
          <w:color w:val="222222"/>
          <w:sz w:val="22"/>
          <w:szCs w:val="22"/>
        </w:rPr>
        <w:t xml:space="preserve">Cross-platform support (Windows/macOS) — Linux/FUSE only.</w:t>
      </w:r>
    </w:p>
    <w:p>
      <w:pPr>
        <w:pStyle w:val="ListParagraph"/>
        <w:numPr>
          <w:ilvl w:val="0"/>
          <w:numId w:val="2"/>
        </w:numPr>
        <w:spacing w:after="90"/>
      </w:pPr>
      <w:r>
        <w:rPr>
          <w:color w:val="222222"/>
          <w:sz w:val="22"/>
          <w:szCs w:val="22"/>
        </w:rPr>
        <w:t xml:space="preserve">Cloud sync or remote backup of the vault.</w:t>
      </w:r>
    </w:p>
    <w:p>
      <w:pPr>
        <w:pStyle w:val="ListParagraph"/>
        <w:numPr>
          <w:ilvl w:val="0"/>
          <w:numId w:val="2"/>
        </w:numPr>
        <w:spacing w:after="90"/>
      </w:pPr>
      <w:r>
        <w:rPr>
          <w:color w:val="222222"/>
          <w:sz w:val="22"/>
          <w:szCs w:val="22"/>
        </w:rPr>
        <w:t xml:space="preserve">Production-grade key recovery / escrow service.</w:t>
      </w:r>
    </w:p>
    <w:p>
      <w:pPr>
        <w:pStyle w:val="Heading2"/>
        <w:spacing w:after="140" w:before="280"/>
      </w:pPr>
      <w:r>
        <w:rPr>
          <w:b/>
          <w:bCs/>
          <w:color w:val="2E74B5"/>
          <w:sz w:val="24"/>
          <w:szCs w:val="24"/>
        </w:rPr>
        <w:t xml:space="preserve">3.3 Success Metrics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200"/>
        <w:gridCol w:w="5150"/>
      </w:tblGrid>
      <w:tr>
        <w:trPr>
          <w:tblHeader/>
        </w:trPr>
        <w:tc>
          <w:tcPr>
            <w:tcW w:type="dxa" w:w="4200"/>
            <w:shd w:fill="1F3864" w:val="clear"/>
            <w:tcMar>
              <w:top w:type="dxa" w:w="80"/>
              <w:left w:type="dxa" w:w="100"/>
              <w:bottom w:type="dxa" w:w="80"/>
              <w:right w:type="dxa" w:w="100"/>
            </w:tcMar>
          </w:tcPr>
          <w:p>
            <w:r>
              <w:rPr>
                <w:b/>
                <w:bCs/>
                <w:color w:val="FFFFFF"/>
                <w:sz w:val="20"/>
                <w:szCs w:val="20"/>
              </w:rPr>
              <w:t xml:space="preserve">Metric</w:t>
            </w:r>
          </w:p>
        </w:tc>
        <w:tc>
          <w:tcPr>
            <w:tcW w:type="dxa" w:w="5150"/>
            <w:shd w:fill="1F3864" w:val="clear"/>
            <w:tcMar>
              <w:top w:type="dxa" w:w="80"/>
              <w:left w:type="dxa" w:w="100"/>
              <w:bottom w:type="dxa" w:w="80"/>
              <w:right w:type="dxa" w:w="100"/>
            </w:tcMar>
          </w:tcPr>
          <w:p>
            <w:r>
              <w:rPr>
                <w:b/>
                <w:bCs/>
                <w:color w:val="FFFFFF"/>
                <w:sz w:val="20"/>
                <w:szCs w:val="20"/>
              </w:rPr>
              <w:t xml:space="preserve">Target</w:t>
            </w:r>
          </w:p>
        </w:tc>
      </w:tr>
      <w:tr>
        <w:tc>
          <w:tcPr>
            <w:tcW w:type="dxa" w:w="4200"/>
            <w:shd w:fill="FFFFFF" w:val="clear"/>
            <w:tcMar>
              <w:top w:type="dxa" w:w="80"/>
              <w:left w:type="dxa" w:w="100"/>
              <w:bottom w:type="dxa" w:w="80"/>
              <w:right w:type="dxa" w:w="100"/>
            </w:tcMar>
          </w:tcPr>
          <w:p>
            <w:r>
              <w:rPr>
                <w:b w:val="false"/>
                <w:bCs w:val="false"/>
                <w:color w:val="222222"/>
                <w:sz w:val="20"/>
                <w:szCs w:val="20"/>
              </w:rPr>
              <w:t xml:space="preserve">Encryption correctness</w:t>
            </w:r>
          </w:p>
        </w:tc>
        <w:tc>
          <w:tcPr>
            <w:tcW w:type="dxa" w:w="5150"/>
            <w:shd w:fill="FFFFFF" w:val="clear"/>
            <w:tcMar>
              <w:top w:type="dxa" w:w="80"/>
              <w:left w:type="dxa" w:w="100"/>
              <w:bottom w:type="dxa" w:w="80"/>
              <w:right w:type="dxa" w:w="100"/>
            </w:tcMar>
          </w:tcPr>
          <w:p>
            <w:r>
              <w:rPr>
                <w:b w:val="false"/>
                <w:bCs w:val="false"/>
                <w:color w:val="222222"/>
                <w:sz w:val="20"/>
                <w:szCs w:val="20"/>
              </w:rPr>
              <w:t xml:space="preserve">100% of files round-trip (encrypt → decrypt) without data loss across test corpus</w:t>
            </w:r>
          </w:p>
        </w:tc>
      </w:tr>
      <w:tr>
        <w:tc>
          <w:tcPr>
            <w:tcW w:type="dxa" w:w="4200"/>
            <w:shd w:fill="F2F6FB" w:val="clear"/>
            <w:tcMar>
              <w:top w:type="dxa" w:w="80"/>
              <w:left w:type="dxa" w:w="100"/>
              <w:bottom w:type="dxa" w:w="80"/>
              <w:right w:type="dxa" w:w="100"/>
            </w:tcMar>
          </w:tcPr>
          <w:p>
            <w:r>
              <w:rPr>
                <w:b w:val="false"/>
                <w:bCs w:val="false"/>
                <w:color w:val="222222"/>
                <w:sz w:val="20"/>
                <w:szCs w:val="20"/>
              </w:rPr>
              <w:t xml:space="preserve">Confidentiality proof</w:t>
            </w:r>
          </w:p>
        </w:tc>
        <w:tc>
          <w:tcPr>
            <w:tcW w:type="dxa" w:w="5150"/>
            <w:shd w:fill="F2F6FB" w:val="clear"/>
            <w:tcMar>
              <w:top w:type="dxa" w:w="80"/>
              <w:left w:type="dxa" w:w="100"/>
              <w:bottom w:type="dxa" w:w="80"/>
              <w:right w:type="dxa" w:w="100"/>
            </w:tcMar>
          </w:tcPr>
          <w:p>
            <w:r>
              <w:rPr>
                <w:b w:val="false"/>
                <w:bCs w:val="false"/>
                <w:color w:val="222222"/>
                <w:sz w:val="20"/>
                <w:szCs w:val="20"/>
              </w:rPr>
              <w:t xml:space="preserve">Standard tools (OpenSSL, hexdump) cannot recover plaintext from vault-stored files</w:t>
            </w:r>
          </w:p>
        </w:tc>
      </w:tr>
      <w:tr>
        <w:tc>
          <w:tcPr>
            <w:tcW w:type="dxa" w:w="4200"/>
            <w:shd w:fill="FFFFFF" w:val="clear"/>
            <w:tcMar>
              <w:top w:type="dxa" w:w="80"/>
              <w:left w:type="dxa" w:w="100"/>
              <w:bottom w:type="dxa" w:w="80"/>
              <w:right w:type="dxa" w:w="100"/>
            </w:tcMar>
          </w:tcPr>
          <w:p>
            <w:r>
              <w:rPr>
                <w:b w:val="false"/>
                <w:bCs w:val="false"/>
                <w:color w:val="222222"/>
                <w:sz w:val="20"/>
                <w:szCs w:val="20"/>
              </w:rPr>
              <w:t xml:space="preserve">Integrity proof</w:t>
            </w:r>
          </w:p>
        </w:tc>
        <w:tc>
          <w:tcPr>
            <w:tcW w:type="dxa" w:w="5150"/>
            <w:shd w:fill="FFFFFF" w:val="clear"/>
            <w:tcMar>
              <w:top w:type="dxa" w:w="80"/>
              <w:left w:type="dxa" w:w="100"/>
              <w:bottom w:type="dxa" w:w="80"/>
              <w:right w:type="dxa" w:w="100"/>
            </w:tcMar>
          </w:tcPr>
          <w:p>
            <w:r>
              <w:rPr>
                <w:b w:val="false"/>
                <w:bCs w:val="false"/>
                <w:color w:val="222222"/>
                <w:sz w:val="20"/>
                <w:szCs w:val="20"/>
              </w:rPr>
              <w:t xml:space="preserve">Any tampered ciphertext is detected via Dilithium signature verification</w:t>
            </w:r>
          </w:p>
        </w:tc>
      </w:tr>
      <w:tr>
        <w:tc>
          <w:tcPr>
            <w:tcW w:type="dxa" w:w="4200"/>
            <w:shd w:fill="F2F6FB" w:val="clear"/>
            <w:tcMar>
              <w:top w:type="dxa" w:w="80"/>
              <w:left w:type="dxa" w:w="100"/>
              <w:bottom w:type="dxa" w:w="80"/>
              <w:right w:type="dxa" w:w="100"/>
            </w:tcMar>
          </w:tcPr>
          <w:p>
            <w:r>
              <w:rPr>
                <w:b w:val="false"/>
                <w:bCs w:val="false"/>
                <w:color w:val="222222"/>
                <w:sz w:val="20"/>
                <w:szCs w:val="20"/>
              </w:rPr>
              <w:t xml:space="preserve">Key hygiene</w:t>
            </w:r>
          </w:p>
        </w:tc>
        <w:tc>
          <w:tcPr>
            <w:tcW w:type="dxa" w:w="5150"/>
            <w:shd w:fill="F2F6FB" w:val="clear"/>
            <w:tcMar>
              <w:top w:type="dxa" w:w="80"/>
              <w:left w:type="dxa" w:w="100"/>
              <w:bottom w:type="dxa" w:w="80"/>
              <w:right w:type="dxa" w:w="100"/>
            </w:tcMar>
          </w:tcPr>
          <w:p>
            <w:r>
              <w:rPr>
                <w:b w:val="false"/>
                <w:bCs w:val="false"/>
                <w:color w:val="222222"/>
                <w:sz w:val="20"/>
                <w:szCs w:val="20"/>
              </w:rPr>
              <w:t xml:space="preserve">Zero unencrypted private-key bytes observed in swap via memory audit (mlock/explicit_bzero)</w:t>
            </w:r>
          </w:p>
        </w:tc>
      </w:tr>
      <w:tr>
        <w:tc>
          <w:tcPr>
            <w:tcW w:type="dxa" w:w="4200"/>
            <w:shd w:fill="FFFFFF" w:val="clear"/>
            <w:tcMar>
              <w:top w:type="dxa" w:w="80"/>
              <w:left w:type="dxa" w:w="100"/>
              <w:bottom w:type="dxa" w:w="80"/>
              <w:right w:type="dxa" w:w="100"/>
            </w:tcMar>
          </w:tcPr>
          <w:p>
            <w:r>
              <w:rPr>
                <w:b w:val="false"/>
                <w:bCs w:val="false"/>
                <w:color w:val="222222"/>
                <w:sz w:val="20"/>
                <w:szCs w:val="20"/>
              </w:rPr>
              <w:t xml:space="preserve">Performance</w:t>
            </w:r>
          </w:p>
        </w:tc>
        <w:tc>
          <w:tcPr>
            <w:tcW w:type="dxa" w:w="5150"/>
            <w:shd w:fill="FFFFFF" w:val="clear"/>
            <w:tcMar>
              <w:top w:type="dxa" w:w="80"/>
              <w:left w:type="dxa" w:w="100"/>
              <w:bottom w:type="dxa" w:w="80"/>
              <w:right w:type="dxa" w:w="100"/>
            </w:tcMar>
          </w:tcPr>
          <w:p>
            <w:r>
              <w:rPr>
                <w:b w:val="false"/>
                <w:bCs w:val="false"/>
                <w:color w:val="222222"/>
                <w:sz w:val="20"/>
                <w:szCs w:val="20"/>
              </w:rPr>
              <w:t xml:space="preserve">Transparent read/write overhead ≤ acceptable UX threshold for files up to 100MB</w:t>
            </w:r>
          </w:p>
        </w:tc>
      </w:tr>
      <w:tr>
        <w:tc>
          <w:tcPr>
            <w:tcW w:type="dxa" w:w="4200"/>
            <w:shd w:fill="F2F6FB" w:val="clear"/>
            <w:tcMar>
              <w:top w:type="dxa" w:w="80"/>
              <w:left w:type="dxa" w:w="100"/>
              <w:bottom w:type="dxa" w:w="80"/>
              <w:right w:type="dxa" w:w="100"/>
            </w:tcMar>
          </w:tcPr>
          <w:p>
            <w:r>
              <w:rPr>
                <w:b w:val="false"/>
                <w:bCs w:val="false"/>
                <w:color w:val="222222"/>
                <w:sz w:val="20"/>
                <w:szCs w:val="20"/>
              </w:rPr>
              <w:t xml:space="preserve">Delivery discipline</w:t>
            </w:r>
          </w:p>
        </w:tc>
        <w:tc>
          <w:tcPr>
            <w:tcW w:type="dxa" w:w="5150"/>
            <w:shd w:fill="F2F6FB" w:val="clear"/>
            <w:tcMar>
              <w:top w:type="dxa" w:w="80"/>
              <w:left w:type="dxa" w:w="100"/>
              <w:bottom w:type="dxa" w:w="80"/>
              <w:right w:type="dxa" w:w="100"/>
            </w:tcMar>
          </w:tcPr>
          <w:p>
            <w:r>
              <w:rPr>
                <w:b w:val="false"/>
                <w:bCs w:val="false"/>
                <w:color w:val="222222"/>
                <w:sz w:val="20"/>
                <w:szCs w:val="20"/>
              </w:rPr>
              <w:t xml:space="preserve">100% compliance with SOP GitHub commit rules (10/14 days mid, 20/20 days final)</w:t>
            </w:r>
          </w:p>
        </w:tc>
      </w:tr>
    </w:tbl>
    <w:p>
      <w:pPr>
        <w:pStyle w:val="Heading1"/>
        <w:pBdr>
          <w:bottom w:val="single" w:color="2E74B5" w:sz="6" w:space="4"/>
        </w:pBdr>
        <w:spacing w:after="200" w:before="400"/>
      </w:pPr>
      <w:r>
        <w:rPr>
          <w:b/>
          <w:bCs/>
          <w:color w:val="1F3864"/>
          <w:sz w:val="30"/>
          <w:szCs w:val="30"/>
        </w:rPr>
        <w:t xml:space="preserve">4. Target User &amp; Primary Use Case</w:t>
      </w:r>
    </w:p>
    <w:p>
      <w:pPr>
        <w:spacing w:after="100"/>
      </w:pPr>
      <w:r>
        <w:rPr>
          <w:b/>
          <w:bCs/>
          <w:color w:val="1F3864"/>
          <w:sz w:val="22"/>
          <w:szCs w:val="22"/>
        </w:rPr>
        <w:t xml:space="preserve">Primary Persona: </w:t>
      </w:r>
      <w:r>
        <w:rPr>
          <w:sz w:val="22"/>
          <w:szCs w:val="22"/>
        </w:rPr>
        <w:t xml:space="preserve">An executive or researcher who needs to store highly classified proprietary files (e.g., blueprints, IP) locally on a Linux machine.</w:t>
      </w:r>
    </w:p>
    <w:p>
      <w:pPr>
        <w:spacing w:after="160" w:line="276"/>
      </w:pPr>
      <w:r>
        <w:rPr>
          <w:color w:val="222222"/>
          <w:sz w:val="22"/>
          <w:szCs w:val="22"/>
        </w:rPr>
        <w:t xml:space="preserve">Use Case Narrative: The user runs the QuantumVault CLI to initialize a vault and generate a post-quantum key pair. They mount the vault as a virtual drive. Any file dropped into that mount point is intercepted by the FUSE layer, streamed to the PQC engine, encrypted with Kyber, signed with Dilithium, and written to the backing store as ciphertext. If the physical disk were stolen, an attacker — even one with a future quantum computer — could not recover the plaintext without the private key.</w:t>
      </w:r>
    </w:p>
    <w:p>
      <w:pPr>
        <w:pStyle w:val="Heading1"/>
        <w:pBdr>
          <w:bottom w:val="single" w:color="2E74B5" w:sz="6" w:space="4"/>
        </w:pBdr>
        <w:spacing w:after="200" w:before="400"/>
      </w:pPr>
      <w:r>
        <w:rPr>
          <w:b/>
          <w:bCs/>
          <w:color w:val="1F3864"/>
          <w:sz w:val="30"/>
          <w:szCs w:val="30"/>
        </w:rPr>
        <w:t xml:space="preserve">5. Key Modules &amp; Functional Requirements</w:t>
      </w:r>
    </w:p>
    <w:p>
      <w:pPr>
        <w:pStyle w:val="Heading3"/>
        <w:spacing w:after="100" w:before="200"/>
      </w:pPr>
      <w:r>
        <w:rPr>
          <w:b/>
          <w:bCs/>
          <w:color w:val="1F3864"/>
          <w:sz w:val="22"/>
          <w:szCs w:val="22"/>
        </w:rPr>
        <w:t xml:space="preserve">5.1 Post-Quantum Crypto Engine (C &amp; liboqs)</w:t>
      </w:r>
    </w:p>
    <w:p>
      <w:pPr>
        <w:pStyle w:val="ListParagraph"/>
        <w:numPr>
          <w:ilvl w:val="0"/>
          <w:numId w:val="2"/>
        </w:numPr>
        <w:spacing w:after="90"/>
      </w:pPr>
      <w:r>
        <w:rPr>
          <w:color w:val="222222"/>
          <w:sz w:val="22"/>
          <w:szCs w:val="22"/>
        </w:rPr>
        <w:t xml:space="preserve">FR-1: Use the Open Quantum Safe (liboqs) library to implement CRYSTALS-Kyber for key encapsulation.</w:t>
      </w:r>
    </w:p>
    <w:p>
      <w:pPr>
        <w:pStyle w:val="ListParagraph"/>
        <w:numPr>
          <w:ilvl w:val="0"/>
          <w:numId w:val="2"/>
        </w:numPr>
        <w:spacing w:after="90"/>
      </w:pPr>
      <w:r>
        <w:rPr>
          <w:color w:val="222222"/>
          <w:sz w:val="22"/>
          <w:szCs w:val="22"/>
        </w:rPr>
        <w:t xml:space="preserve">FR-2: Use CRYSTALS-Dilithium to generate and verify digital signatures for every file.</w:t>
      </w:r>
    </w:p>
    <w:p>
      <w:pPr>
        <w:pStyle w:val="ListParagraph"/>
        <w:numPr>
          <w:ilvl w:val="0"/>
          <w:numId w:val="2"/>
        </w:numPr>
        <w:spacing w:after="90"/>
      </w:pPr>
      <w:r>
        <w:rPr>
          <w:color w:val="222222"/>
          <w:sz w:val="22"/>
          <w:szCs w:val="22"/>
        </w:rPr>
        <w:t xml:space="preserve">FR-3: Expose a stable C API (encrypt_blob, decrypt_blob, sign_blob, verify_blob) for FFI consumption.</w:t>
      </w:r>
    </w:p>
    <w:p>
      <w:pPr>
        <w:pStyle w:val="Heading3"/>
        <w:spacing w:after="100" w:before="200"/>
      </w:pPr>
      <w:r>
        <w:rPr>
          <w:b/>
          <w:bCs/>
          <w:color w:val="1F3864"/>
          <w:sz w:val="22"/>
          <w:szCs w:val="22"/>
        </w:rPr>
        <w:t xml:space="preserve">5.2 Virtual Filesystem (Rust &amp; FUSE)</w:t>
      </w:r>
    </w:p>
    <w:p>
      <w:pPr>
        <w:pStyle w:val="ListParagraph"/>
        <w:numPr>
          <w:ilvl w:val="0"/>
          <w:numId w:val="2"/>
        </w:numPr>
        <w:spacing w:after="90"/>
      </w:pPr>
      <w:r>
        <w:rPr>
          <w:color w:val="222222"/>
          <w:sz w:val="22"/>
          <w:szCs w:val="22"/>
        </w:rPr>
        <w:t xml:space="preserve">FR-4: Implement a FUSE filesystem in Rust that mounts a virtual folder over a backing directory.</w:t>
      </w:r>
    </w:p>
    <w:p>
      <w:pPr>
        <w:pStyle w:val="ListParagraph"/>
        <w:numPr>
          <w:ilvl w:val="0"/>
          <w:numId w:val="2"/>
        </w:numPr>
        <w:spacing w:after="90"/>
      </w:pPr>
      <w:r>
        <w:rPr>
          <w:color w:val="222222"/>
          <w:sz w:val="22"/>
          <w:szCs w:val="22"/>
        </w:rPr>
        <w:t xml:space="preserve">FR-5: Intercept write() calls, pass the byte stream to the crypto engine before persisting to disk.</w:t>
      </w:r>
    </w:p>
    <w:p>
      <w:pPr>
        <w:pStyle w:val="ListParagraph"/>
        <w:numPr>
          <w:ilvl w:val="0"/>
          <w:numId w:val="2"/>
        </w:numPr>
        <w:spacing w:after="90"/>
      </w:pPr>
      <w:r>
        <w:rPr>
          <w:color w:val="222222"/>
          <w:sz w:val="22"/>
          <w:szCs w:val="22"/>
        </w:rPr>
        <w:t xml:space="preserve">FR-6: Intercept read() calls, decrypt in memory on the fly, and return plaintext bytes to the OS/application transparently.</w:t>
      </w:r>
    </w:p>
    <w:p>
      <w:pPr>
        <w:pStyle w:val="Heading3"/>
        <w:spacing w:after="100" w:before="200"/>
      </w:pPr>
      <w:r>
        <w:rPr>
          <w:b/>
          <w:bCs/>
          <w:color w:val="1F3864"/>
          <w:sz w:val="22"/>
          <w:szCs w:val="22"/>
        </w:rPr>
        <w:t xml:space="preserve">5.3 Key Management Daemon (Rust)</w:t>
      </w:r>
    </w:p>
    <w:p>
      <w:pPr>
        <w:pStyle w:val="ListParagraph"/>
        <w:numPr>
          <w:ilvl w:val="0"/>
          <w:numId w:val="2"/>
        </w:numPr>
        <w:spacing w:after="90"/>
      </w:pPr>
      <w:r>
        <w:rPr>
          <w:color w:val="222222"/>
          <w:sz w:val="22"/>
          <w:szCs w:val="22"/>
        </w:rPr>
        <w:t xml:space="preserve">FR-7: Generate, store, and rotate post-quantum public/private key pairs.</w:t>
      </w:r>
    </w:p>
    <w:p>
      <w:pPr>
        <w:pStyle w:val="ListParagraph"/>
        <w:numPr>
          <w:ilvl w:val="0"/>
          <w:numId w:val="2"/>
        </w:numPr>
        <w:spacing w:after="90"/>
      </w:pPr>
      <w:r>
        <w:rPr>
          <w:color w:val="222222"/>
          <w:sz w:val="22"/>
          <w:szCs w:val="22"/>
        </w:rPr>
        <w:t xml:space="preserve">FR-8: Wipe private key material from memory using mlock and explicit_bzero equivalents; never allow keys to be paged to swap.</w:t>
      </w:r>
    </w:p>
    <w:p>
      <w:pPr>
        <w:pStyle w:val="Heading3"/>
        <w:spacing w:after="100" w:before="200"/>
      </w:pPr>
      <w:r>
        <w:rPr>
          <w:b/>
          <w:bCs/>
          <w:color w:val="1F3864"/>
          <w:sz w:val="22"/>
          <w:szCs w:val="22"/>
        </w:rPr>
        <w:t xml:space="preserve">5.4 CLI Interface</w:t>
      </w:r>
    </w:p>
    <w:p>
      <w:pPr>
        <w:pStyle w:val="ListParagraph"/>
        <w:numPr>
          <w:ilvl w:val="0"/>
          <w:numId w:val="2"/>
        </w:numPr>
        <w:spacing w:after="90"/>
      </w:pPr>
      <w:r>
        <w:rPr>
          <w:color w:val="222222"/>
          <w:sz w:val="22"/>
          <w:szCs w:val="22"/>
        </w:rPr>
        <w:t xml:space="preserve">FR-9: `quantumvault init` — create a new vault and master password.</w:t>
      </w:r>
    </w:p>
    <w:p>
      <w:pPr>
        <w:pStyle w:val="ListParagraph"/>
        <w:numPr>
          <w:ilvl w:val="0"/>
          <w:numId w:val="2"/>
        </w:numPr>
        <w:spacing w:after="90"/>
      </w:pPr>
      <w:r>
        <w:rPr>
          <w:color w:val="222222"/>
          <w:sz w:val="22"/>
          <w:szCs w:val="22"/>
        </w:rPr>
        <w:t xml:space="preserve">FR-10: `quantumvault mount &lt;path&gt;` / `unmount &lt;path&gt;` — attach/detach the FUSE drive.</w:t>
      </w:r>
    </w:p>
    <w:p>
      <w:pPr>
        <w:pStyle w:val="ListParagraph"/>
        <w:numPr>
          <w:ilvl w:val="0"/>
          <w:numId w:val="2"/>
        </w:numPr>
        <w:spacing w:after="90"/>
      </w:pPr>
      <w:r>
        <w:rPr>
          <w:color w:val="222222"/>
          <w:sz w:val="22"/>
          <w:szCs w:val="22"/>
        </w:rPr>
        <w:t xml:space="preserve">FR-11: `quantumvault keygen` — generate a new PQC identity.</w:t>
      </w:r>
    </w:p>
    <w:p>
      <w:pPr>
        <w:pStyle w:val="Heading1"/>
        <w:pBdr>
          <w:bottom w:val="single" w:color="2E74B5" w:sz="6" w:space="4"/>
        </w:pBdr>
        <w:spacing w:after="200" w:before="400"/>
      </w:pPr>
      <w:r>
        <w:rPr>
          <w:b/>
          <w:bCs/>
          <w:color w:val="1F3864"/>
          <w:sz w:val="30"/>
          <w:szCs w:val="30"/>
        </w:rPr>
        <w:t xml:space="preserve">6. Non-Functional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1F3864" w:val="clear"/>
            <w:tcMar>
              <w:top w:type="dxa" w:w="80"/>
              <w:left w:type="dxa" w:w="100"/>
              <w:bottom w:type="dxa" w:w="80"/>
              <w:right w:type="dxa" w:w="100"/>
            </w:tcMar>
          </w:tcPr>
          <w:p>
            <w:r>
              <w:rPr>
                <w:b/>
                <w:bCs/>
                <w:color w:val="FFFFFF"/>
                <w:sz w:val="20"/>
                <w:szCs w:val="20"/>
              </w:rPr>
              <w:t xml:space="preserve">Category</w:t>
            </w:r>
          </w:p>
        </w:tc>
        <w:tc>
          <w:tcPr>
            <w:tcW w:type="dxa" w:w="6150"/>
            <w:shd w:fill="1F3864" w:val="clear"/>
            <w:tcMar>
              <w:top w:type="dxa" w:w="80"/>
              <w:left w:type="dxa" w:w="100"/>
              <w:bottom w:type="dxa" w:w="80"/>
              <w:right w:type="dxa" w:w="100"/>
            </w:tcMar>
          </w:tcPr>
          <w:p>
            <w:r>
              <w:rPr>
                <w:b/>
                <w:bCs/>
                <w:color w:val="FFFFFF"/>
                <w:sz w:val="20"/>
                <w:szCs w:val="20"/>
              </w:rPr>
              <w:t xml:space="preserve">Requirement</w:t>
            </w:r>
          </w:p>
        </w:tc>
      </w:tr>
      <w:tr>
        <w:tc>
          <w:tcPr>
            <w:tcW w:type="dxa" w:w="3200"/>
            <w:shd w:fill="FFFFFF" w:val="clear"/>
            <w:tcMar>
              <w:top w:type="dxa" w:w="80"/>
              <w:left w:type="dxa" w:w="100"/>
              <w:bottom w:type="dxa" w:w="80"/>
              <w:right w:type="dxa" w:w="100"/>
            </w:tcMar>
          </w:tcPr>
          <w:p>
            <w:r>
              <w:rPr>
                <w:b w:val="false"/>
                <w:bCs w:val="false"/>
                <w:color w:val="222222"/>
                <w:sz w:val="20"/>
                <w:szCs w:val="20"/>
              </w:rPr>
              <w:t xml:space="preserve">Security</w:t>
            </w:r>
          </w:p>
        </w:tc>
        <w:tc>
          <w:tcPr>
            <w:tcW w:type="dxa" w:w="6150"/>
            <w:shd w:fill="FFFFFF" w:val="clear"/>
            <w:tcMar>
              <w:top w:type="dxa" w:w="80"/>
              <w:left w:type="dxa" w:w="100"/>
              <w:bottom w:type="dxa" w:w="80"/>
              <w:right w:type="dxa" w:w="100"/>
            </w:tcMar>
          </w:tcPr>
          <w:p>
            <w:r>
              <w:rPr>
                <w:b w:val="false"/>
                <w:bCs w:val="false"/>
                <w:color w:val="222222"/>
                <w:sz w:val="20"/>
                <w:szCs w:val="20"/>
              </w:rPr>
              <w:t xml:space="preserve">No plaintext or private key ever written to non-volatile storage unencrypted.</w:t>
            </w:r>
          </w:p>
        </w:tc>
      </w:tr>
      <w:tr>
        <w:tc>
          <w:tcPr>
            <w:tcW w:type="dxa" w:w="3200"/>
            <w:shd w:fill="F2F6FB" w:val="clear"/>
            <w:tcMar>
              <w:top w:type="dxa" w:w="80"/>
              <w:left w:type="dxa" w:w="100"/>
              <w:bottom w:type="dxa" w:w="80"/>
              <w:right w:type="dxa" w:w="100"/>
            </w:tcMar>
          </w:tcPr>
          <w:p>
            <w:r>
              <w:rPr>
                <w:b w:val="false"/>
                <w:bCs w:val="false"/>
                <w:color w:val="222222"/>
                <w:sz w:val="20"/>
                <w:szCs w:val="20"/>
              </w:rPr>
              <w:t xml:space="preserve">Reliability</w:t>
            </w:r>
          </w:p>
        </w:tc>
        <w:tc>
          <w:tcPr>
            <w:tcW w:type="dxa" w:w="6150"/>
            <w:shd w:fill="F2F6FB" w:val="clear"/>
            <w:tcMar>
              <w:top w:type="dxa" w:w="80"/>
              <w:left w:type="dxa" w:w="100"/>
              <w:bottom w:type="dxa" w:w="80"/>
              <w:right w:type="dxa" w:w="100"/>
            </w:tcMar>
          </w:tcPr>
          <w:p>
            <w:r>
              <w:rPr>
                <w:b w:val="false"/>
                <w:bCs w:val="false"/>
                <w:color w:val="222222"/>
                <w:sz w:val="20"/>
                <w:szCs w:val="20"/>
              </w:rPr>
              <w:t xml:space="preserve">Vault must unmount gracefully with no data corruption on crash/SIGTERM.</w:t>
            </w:r>
          </w:p>
        </w:tc>
      </w:tr>
      <w:tr>
        <w:tc>
          <w:tcPr>
            <w:tcW w:type="dxa" w:w="3200"/>
            <w:shd w:fill="FFFFFF" w:val="clear"/>
            <w:tcMar>
              <w:top w:type="dxa" w:w="80"/>
              <w:left w:type="dxa" w:w="100"/>
              <w:bottom w:type="dxa" w:w="80"/>
              <w:right w:type="dxa" w:w="100"/>
            </w:tcMar>
          </w:tcPr>
          <w:p>
            <w:r>
              <w:rPr>
                <w:b w:val="false"/>
                <w:bCs w:val="false"/>
                <w:color w:val="222222"/>
                <w:sz w:val="20"/>
                <w:szCs w:val="20"/>
              </w:rPr>
              <w:t xml:space="preserve">Portability</w:t>
            </w:r>
          </w:p>
        </w:tc>
        <w:tc>
          <w:tcPr>
            <w:tcW w:type="dxa" w:w="6150"/>
            <w:shd w:fill="FFFFFF" w:val="clear"/>
            <w:tcMar>
              <w:top w:type="dxa" w:w="80"/>
              <w:left w:type="dxa" w:w="100"/>
              <w:bottom w:type="dxa" w:w="80"/>
              <w:right w:type="dxa" w:w="100"/>
            </w:tcMar>
          </w:tcPr>
          <w:p>
            <w:r>
              <w:rPr>
                <w:b w:val="false"/>
                <w:bCs w:val="false"/>
                <w:color w:val="222222"/>
                <w:sz w:val="20"/>
                <w:szCs w:val="20"/>
              </w:rPr>
              <w:t xml:space="preserve">Runs on any modern Linux distro with FUSE3 and liboqs available.</w:t>
            </w:r>
          </w:p>
        </w:tc>
      </w:tr>
      <w:tr>
        <w:tc>
          <w:tcPr>
            <w:tcW w:type="dxa" w:w="3200"/>
            <w:shd w:fill="F2F6FB" w:val="clear"/>
            <w:tcMar>
              <w:top w:type="dxa" w:w="80"/>
              <w:left w:type="dxa" w:w="100"/>
              <w:bottom w:type="dxa" w:w="80"/>
              <w:right w:type="dxa" w:w="100"/>
            </w:tcMar>
          </w:tcPr>
          <w:p>
            <w:r>
              <w:rPr>
                <w:b w:val="false"/>
                <w:bCs w:val="false"/>
                <w:color w:val="222222"/>
                <w:sz w:val="20"/>
                <w:szCs w:val="20"/>
              </w:rPr>
              <w:t xml:space="preserve">Memory Safety</w:t>
            </w:r>
          </w:p>
        </w:tc>
        <w:tc>
          <w:tcPr>
            <w:tcW w:type="dxa" w:w="6150"/>
            <w:shd w:fill="F2F6FB" w:val="clear"/>
            <w:tcMar>
              <w:top w:type="dxa" w:w="80"/>
              <w:left w:type="dxa" w:w="100"/>
              <w:bottom w:type="dxa" w:w="80"/>
              <w:right w:type="dxa" w:w="100"/>
            </w:tcMar>
          </w:tcPr>
          <w:p>
            <w:r>
              <w:rPr>
                <w:b w:val="false"/>
                <w:bCs w:val="false"/>
                <w:color w:val="222222"/>
                <w:sz w:val="20"/>
                <w:szCs w:val="20"/>
              </w:rPr>
              <w:t xml:space="preserve">Filesystem layer written in Rust to eliminate memory-corruption classes of bugs.</w:t>
            </w:r>
          </w:p>
        </w:tc>
      </w:tr>
      <w:tr>
        <w:tc>
          <w:tcPr>
            <w:tcW w:type="dxa" w:w="3200"/>
            <w:shd w:fill="FFFFFF" w:val="clear"/>
            <w:tcMar>
              <w:top w:type="dxa" w:w="80"/>
              <w:left w:type="dxa" w:w="100"/>
              <w:bottom w:type="dxa" w:w="80"/>
              <w:right w:type="dxa" w:w="100"/>
            </w:tcMar>
          </w:tcPr>
          <w:p>
            <w:r>
              <w:rPr>
                <w:b w:val="false"/>
                <w:bCs w:val="false"/>
                <w:color w:val="222222"/>
                <w:sz w:val="20"/>
                <w:szCs w:val="20"/>
              </w:rPr>
              <w:t xml:space="preserve">Auditability</w:t>
            </w:r>
          </w:p>
        </w:tc>
        <w:tc>
          <w:tcPr>
            <w:tcW w:type="dxa" w:w="6150"/>
            <w:shd w:fill="FFFFFF" w:val="clear"/>
            <w:tcMar>
              <w:top w:type="dxa" w:w="80"/>
              <w:left w:type="dxa" w:w="100"/>
              <w:bottom w:type="dxa" w:w="80"/>
              <w:right w:type="dxa" w:w="100"/>
            </w:tcMar>
          </w:tcPr>
          <w:p>
            <w:r>
              <w:rPr>
                <w:b w:val="false"/>
                <w:bCs w:val="false"/>
                <w:color w:val="222222"/>
                <w:sz w:val="20"/>
                <w:szCs w:val="20"/>
              </w:rPr>
              <w:t xml:space="preserve">Every crypto operation loggable for later security review.</w:t>
            </w:r>
          </w:p>
        </w:tc>
      </w:tr>
      <w:tr>
        <w:tc>
          <w:tcPr>
            <w:tcW w:type="dxa" w:w="3200"/>
            <w:shd w:fill="F2F6FB" w:val="clear"/>
            <w:tcMar>
              <w:top w:type="dxa" w:w="80"/>
              <w:left w:type="dxa" w:w="100"/>
              <w:bottom w:type="dxa" w:w="80"/>
              <w:right w:type="dxa" w:w="100"/>
            </w:tcMar>
          </w:tcPr>
          <w:p>
            <w:r>
              <w:rPr>
                <w:b w:val="false"/>
                <w:bCs w:val="false"/>
                <w:color w:val="222222"/>
                <w:sz w:val="20"/>
                <w:szCs w:val="20"/>
              </w:rPr>
              <w:t xml:space="preserve">Usability</w:t>
            </w:r>
          </w:p>
        </w:tc>
        <w:tc>
          <w:tcPr>
            <w:tcW w:type="dxa" w:w="6150"/>
            <w:shd w:fill="F2F6FB" w:val="clear"/>
            <w:tcMar>
              <w:top w:type="dxa" w:w="80"/>
              <w:left w:type="dxa" w:w="100"/>
              <w:bottom w:type="dxa" w:w="80"/>
              <w:right w:type="dxa" w:w="100"/>
            </w:tcMar>
          </w:tcPr>
          <w:p>
            <w:r>
              <w:rPr>
                <w:b w:val="false"/>
                <w:bCs w:val="false"/>
                <w:color w:val="222222"/>
                <w:sz w:val="20"/>
                <w:szCs w:val="20"/>
              </w:rPr>
              <w:t xml:space="preserve">Mounting/using the vault should feel identical to using a normal folder.</w:t>
            </w:r>
          </w:p>
        </w:tc>
      </w:tr>
    </w:tbl>
    <w:p>
      <w:pPr>
        <w:pStyle w:val="Heading1"/>
        <w:pBdr>
          <w:bottom w:val="single" w:color="2E74B5" w:sz="6" w:space="4"/>
        </w:pBdr>
        <w:spacing w:after="200" w:before="400"/>
      </w:pPr>
      <w:r>
        <w:rPr>
          <w:b/>
          <w:bCs/>
          <w:color w:val="1F3864"/>
          <w:sz w:val="30"/>
          <w:szCs w:val="30"/>
        </w:rPr>
        <w:t xml:space="preserve">7. Technology Stack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1F3864" w:val="clear"/>
            <w:tcMar>
              <w:top w:type="dxa" w:w="80"/>
              <w:left w:type="dxa" w:w="100"/>
              <w:bottom w:type="dxa" w:w="80"/>
              <w:right w:type="dxa" w:w="100"/>
            </w:tcMar>
          </w:tcPr>
          <w:p>
            <w:r>
              <w:rPr>
                <w:b/>
                <w:bCs/>
                <w:color w:val="FFFFFF"/>
                <w:sz w:val="20"/>
                <w:szCs w:val="20"/>
              </w:rPr>
              <w:t xml:space="preserve">Layer</w:t>
            </w:r>
          </w:p>
        </w:tc>
        <w:tc>
          <w:tcPr>
            <w:tcW w:type="dxa" w:w="6150"/>
            <w:shd w:fill="1F3864" w:val="clear"/>
            <w:tcMar>
              <w:top w:type="dxa" w:w="80"/>
              <w:left w:type="dxa" w:w="100"/>
              <w:bottom w:type="dxa" w:w="80"/>
              <w:right w:type="dxa" w:w="100"/>
            </w:tcMar>
          </w:tcPr>
          <w:p>
            <w:r>
              <w:rPr>
                <w:b/>
                <w:bCs/>
                <w:color w:val="FFFFFF"/>
                <w:sz w:val="20"/>
                <w:szCs w:val="20"/>
              </w:rPr>
              <w:t xml:space="preserve">Technology</w:t>
            </w:r>
          </w:p>
        </w:tc>
      </w:tr>
      <w:tr>
        <w:tc>
          <w:tcPr>
            <w:tcW w:type="dxa" w:w="3200"/>
            <w:shd w:fill="FFFFFF" w:val="clear"/>
            <w:tcMar>
              <w:top w:type="dxa" w:w="80"/>
              <w:left w:type="dxa" w:w="100"/>
              <w:bottom w:type="dxa" w:w="80"/>
              <w:right w:type="dxa" w:w="100"/>
            </w:tcMar>
          </w:tcPr>
          <w:p>
            <w:r>
              <w:rPr>
                <w:b w:val="false"/>
                <w:bCs w:val="false"/>
                <w:color w:val="222222"/>
                <w:sz w:val="20"/>
                <w:szCs w:val="20"/>
              </w:rPr>
              <w:t xml:space="preserve">Cryptography</w:t>
            </w:r>
          </w:p>
        </w:tc>
        <w:tc>
          <w:tcPr>
            <w:tcW w:type="dxa" w:w="6150"/>
            <w:shd w:fill="FFFFFF" w:val="clear"/>
            <w:tcMar>
              <w:top w:type="dxa" w:w="80"/>
              <w:left w:type="dxa" w:w="100"/>
              <w:bottom w:type="dxa" w:w="80"/>
              <w:right w:type="dxa" w:w="100"/>
            </w:tcMar>
          </w:tcPr>
          <w:p>
            <w:r>
              <w:rPr>
                <w:b w:val="false"/>
                <w:bCs w:val="false"/>
                <w:color w:val="222222"/>
                <w:sz w:val="20"/>
                <w:szCs w:val="20"/>
              </w:rPr>
              <w:t xml:space="preserve">C, liboqs (Open Quantum Safe) — CRYSTALS-Kyber, CRYSTALS-Dilithium</w:t>
            </w:r>
          </w:p>
        </w:tc>
      </w:tr>
      <w:tr>
        <w:tc>
          <w:tcPr>
            <w:tcW w:type="dxa" w:w="3200"/>
            <w:shd w:fill="F2F6FB" w:val="clear"/>
            <w:tcMar>
              <w:top w:type="dxa" w:w="80"/>
              <w:left w:type="dxa" w:w="100"/>
              <w:bottom w:type="dxa" w:w="80"/>
              <w:right w:type="dxa" w:w="100"/>
            </w:tcMar>
          </w:tcPr>
          <w:p>
            <w:r>
              <w:rPr>
                <w:b w:val="false"/>
                <w:bCs w:val="false"/>
                <w:color w:val="222222"/>
                <w:sz w:val="20"/>
                <w:szCs w:val="20"/>
              </w:rPr>
              <w:t xml:space="preserve">Filesystem Bridge</w:t>
            </w:r>
          </w:p>
        </w:tc>
        <w:tc>
          <w:tcPr>
            <w:tcW w:type="dxa" w:w="6150"/>
            <w:shd w:fill="F2F6FB" w:val="clear"/>
            <w:tcMar>
              <w:top w:type="dxa" w:w="80"/>
              <w:left w:type="dxa" w:w="100"/>
              <w:bottom w:type="dxa" w:w="80"/>
              <w:right w:type="dxa" w:w="100"/>
            </w:tcMar>
          </w:tcPr>
          <w:p>
            <w:r>
              <w:rPr>
                <w:b w:val="false"/>
                <w:bCs w:val="false"/>
                <w:color w:val="222222"/>
                <w:sz w:val="20"/>
                <w:szCs w:val="20"/>
              </w:rPr>
              <w:t xml:space="preserve">Rust, FUSE3 (fuser / fuse-rs crate)</w:t>
            </w:r>
          </w:p>
        </w:tc>
      </w:tr>
      <w:tr>
        <w:tc>
          <w:tcPr>
            <w:tcW w:type="dxa" w:w="3200"/>
            <w:shd w:fill="FFFFFF" w:val="clear"/>
            <w:tcMar>
              <w:top w:type="dxa" w:w="80"/>
              <w:left w:type="dxa" w:w="100"/>
              <w:bottom w:type="dxa" w:w="80"/>
              <w:right w:type="dxa" w:w="100"/>
            </w:tcMar>
          </w:tcPr>
          <w:p>
            <w:r>
              <w:rPr>
                <w:b w:val="false"/>
                <w:bCs w:val="false"/>
                <w:color w:val="222222"/>
                <w:sz w:val="20"/>
                <w:szCs w:val="20"/>
              </w:rPr>
              <w:t xml:space="preserve">FFI Bridge</w:t>
            </w:r>
          </w:p>
        </w:tc>
        <w:tc>
          <w:tcPr>
            <w:tcW w:type="dxa" w:w="6150"/>
            <w:shd w:fill="FFFFFF" w:val="clear"/>
            <w:tcMar>
              <w:top w:type="dxa" w:w="80"/>
              <w:left w:type="dxa" w:w="100"/>
              <w:bottom w:type="dxa" w:w="80"/>
              <w:right w:type="dxa" w:w="100"/>
            </w:tcMar>
          </w:tcPr>
          <w:p>
            <w:r>
              <w:rPr>
                <w:b w:val="false"/>
                <w:bCs w:val="false"/>
                <w:color w:val="222222"/>
                <w:sz w:val="20"/>
                <w:szCs w:val="20"/>
              </w:rPr>
              <w:t xml:space="preserve">Rust ↔ C via safe FFI bindings</w:t>
            </w:r>
          </w:p>
        </w:tc>
      </w:tr>
      <w:tr>
        <w:tc>
          <w:tcPr>
            <w:tcW w:type="dxa" w:w="3200"/>
            <w:shd w:fill="F2F6FB" w:val="clear"/>
            <w:tcMar>
              <w:top w:type="dxa" w:w="80"/>
              <w:left w:type="dxa" w:w="100"/>
              <w:bottom w:type="dxa" w:w="80"/>
              <w:right w:type="dxa" w:w="100"/>
            </w:tcMar>
          </w:tcPr>
          <w:p>
            <w:r>
              <w:rPr>
                <w:b w:val="false"/>
                <w:bCs w:val="false"/>
                <w:color w:val="222222"/>
                <w:sz w:val="20"/>
                <w:szCs w:val="20"/>
              </w:rPr>
              <w:t xml:space="preserve">Key Management</w:t>
            </w:r>
          </w:p>
        </w:tc>
        <w:tc>
          <w:tcPr>
            <w:tcW w:type="dxa" w:w="6150"/>
            <w:shd w:fill="F2F6FB" w:val="clear"/>
            <w:tcMar>
              <w:top w:type="dxa" w:w="80"/>
              <w:left w:type="dxa" w:w="100"/>
              <w:bottom w:type="dxa" w:w="80"/>
              <w:right w:type="dxa" w:w="100"/>
            </w:tcMar>
          </w:tcPr>
          <w:p>
            <w:r>
              <w:rPr>
                <w:b w:val="false"/>
                <w:bCs w:val="false"/>
                <w:color w:val="222222"/>
                <w:sz w:val="20"/>
                <w:szCs w:val="20"/>
              </w:rPr>
              <w:t xml:space="preserve">Rust daemon, mlock / explicit_bzero memory hardening</w:t>
            </w:r>
          </w:p>
        </w:tc>
      </w:tr>
      <w:tr>
        <w:tc>
          <w:tcPr>
            <w:tcW w:type="dxa" w:w="3200"/>
            <w:shd w:fill="FFFFFF" w:val="clear"/>
            <w:tcMar>
              <w:top w:type="dxa" w:w="80"/>
              <w:left w:type="dxa" w:w="100"/>
              <w:bottom w:type="dxa" w:w="80"/>
              <w:right w:type="dxa" w:w="100"/>
            </w:tcMar>
          </w:tcPr>
          <w:p>
            <w:r>
              <w:rPr>
                <w:b w:val="false"/>
                <w:bCs w:val="false"/>
                <w:color w:val="222222"/>
                <w:sz w:val="20"/>
                <w:szCs w:val="20"/>
              </w:rPr>
              <w:t xml:space="preserve">Interface</w:t>
            </w:r>
          </w:p>
        </w:tc>
        <w:tc>
          <w:tcPr>
            <w:tcW w:type="dxa" w:w="6150"/>
            <w:shd w:fill="FFFFFF" w:val="clear"/>
            <w:tcMar>
              <w:top w:type="dxa" w:w="80"/>
              <w:left w:type="dxa" w:w="100"/>
              <w:bottom w:type="dxa" w:w="80"/>
              <w:right w:type="dxa" w:w="100"/>
            </w:tcMar>
          </w:tcPr>
          <w:p>
            <w:r>
              <w:rPr>
                <w:b w:val="false"/>
                <w:bCs w:val="false"/>
                <w:color w:val="222222"/>
                <w:sz w:val="20"/>
                <w:szCs w:val="20"/>
              </w:rPr>
              <w:t xml:space="preserve">Native CLI (Rust clap or similar)</w:t>
            </w:r>
          </w:p>
        </w:tc>
      </w:tr>
      <w:tr>
        <w:tc>
          <w:tcPr>
            <w:tcW w:type="dxa" w:w="3200"/>
            <w:shd w:fill="F2F6FB" w:val="clear"/>
            <w:tcMar>
              <w:top w:type="dxa" w:w="80"/>
              <w:left w:type="dxa" w:w="100"/>
              <w:bottom w:type="dxa" w:w="80"/>
              <w:right w:type="dxa" w:w="100"/>
            </w:tcMar>
          </w:tcPr>
          <w:p>
            <w:r>
              <w:rPr>
                <w:b w:val="false"/>
                <w:bCs w:val="false"/>
                <w:color w:val="222222"/>
                <w:sz w:val="20"/>
                <w:szCs w:val="20"/>
              </w:rPr>
              <w:t xml:space="preserve">Platform</w:t>
            </w:r>
          </w:p>
        </w:tc>
        <w:tc>
          <w:tcPr>
            <w:tcW w:type="dxa" w:w="6150"/>
            <w:shd w:fill="F2F6FB" w:val="clear"/>
            <w:tcMar>
              <w:top w:type="dxa" w:w="80"/>
              <w:left w:type="dxa" w:w="100"/>
              <w:bottom w:type="dxa" w:w="80"/>
              <w:right w:type="dxa" w:w="100"/>
            </w:tcMar>
          </w:tcPr>
          <w:p>
            <w:r>
              <w:rPr>
                <w:b w:val="false"/>
                <w:bCs w:val="false"/>
                <w:color w:val="222222"/>
                <w:sz w:val="20"/>
                <w:szCs w:val="20"/>
              </w:rPr>
              <w:t xml:space="preserve">Linux (kernel FUSE subsystem)</w:t>
            </w:r>
          </w:p>
        </w:tc>
      </w:tr>
    </w:tbl>
    <w:p>
      <w:pPr>
        <w:pStyle w:val="Heading1"/>
        <w:pBdr>
          <w:bottom w:val="single" w:color="2E74B5" w:sz="6" w:space="4"/>
        </w:pBdr>
        <w:spacing w:after="200" w:before="400"/>
      </w:pPr>
      <w:r>
        <w:rPr>
          <w:b/>
          <w:bCs/>
          <w:color w:val="1F3864"/>
          <w:sz w:val="30"/>
          <w:szCs w:val="30"/>
        </w:rPr>
        <w:t xml:space="preserve">8. Delivery Timeline (per Infotact SOP)</w:t>
      </w:r>
    </w:p>
    <w:p>
      <w:pPr>
        <w:spacing w:after="160" w:line="276"/>
      </w:pPr>
      <w:r>
        <w:rPr>
          <w:color w:val="222222"/>
          <w:sz w:val="22"/>
          <w:szCs w:val="22"/>
        </w:rPr>
        <w:t xml:space="preserve">QuantumVault is executed as either Project 1 (Month 1) or Project 2 (Month 2) of the team's 2-month cycle, per the Infotact Project Execution Handbook. Each project is a strict 4-week build with a Mid Review and a Final Review.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1F3864" w:val="clear"/>
            <w:tcMar>
              <w:top w:type="dxa" w:w="80"/>
              <w:left w:type="dxa" w:w="100"/>
              <w:bottom w:type="dxa" w:w="80"/>
              <w:right w:type="dxa" w:w="100"/>
            </w:tcMar>
          </w:tcPr>
          <w:p>
            <w:r>
              <w:rPr>
                <w:b/>
                <w:bCs/>
                <w:color w:val="FFFFFF"/>
                <w:sz w:val="20"/>
                <w:szCs w:val="20"/>
              </w:rPr>
              <w:t xml:space="preserve">Week</w:t>
            </w:r>
          </w:p>
        </w:tc>
        <w:tc>
          <w:tcPr>
            <w:tcW w:type="dxa" w:w="6950"/>
            <w:shd w:fill="1F3864" w:val="clear"/>
            <w:tcMar>
              <w:top w:type="dxa" w:w="80"/>
              <w:left w:type="dxa" w:w="100"/>
              <w:bottom w:type="dxa" w:w="80"/>
              <w:right w:type="dxa" w:w="100"/>
            </w:tcMar>
          </w:tcPr>
          <w:p>
            <w:r>
              <w:rPr>
                <w:b/>
                <w:bCs/>
                <w:color w:val="FFFFFF"/>
                <w:sz w:val="20"/>
                <w:szCs w:val="20"/>
              </w:rPr>
              <w:t xml:space="preserve">Milestone</w:t>
            </w:r>
          </w:p>
        </w:tc>
      </w:tr>
      <w:tr>
        <w:tc>
          <w:tcPr>
            <w:tcW w:type="dxa" w:w="2400"/>
            <w:shd w:fill="FFFFFF" w:val="clear"/>
            <w:tcMar>
              <w:top w:type="dxa" w:w="80"/>
              <w:left w:type="dxa" w:w="100"/>
              <w:bottom w:type="dxa" w:w="80"/>
              <w:right w:type="dxa" w:w="100"/>
            </w:tcMar>
          </w:tcPr>
          <w:p>
            <w:r>
              <w:rPr>
                <w:b w:val="false"/>
                <w:bCs w:val="false"/>
                <w:color w:val="222222"/>
                <w:sz w:val="20"/>
                <w:szCs w:val="20"/>
              </w:rPr>
              <w:t xml:space="preserve">Week 1</w:t>
            </w:r>
          </w:p>
        </w:tc>
        <w:tc>
          <w:tcPr>
            <w:tcW w:type="dxa" w:w="6950"/>
            <w:shd w:fill="FFFFFF" w:val="clear"/>
            <w:tcMar>
              <w:top w:type="dxa" w:w="80"/>
              <w:left w:type="dxa" w:w="100"/>
              <w:bottom w:type="dxa" w:w="80"/>
              <w:right w:type="dxa" w:w="100"/>
            </w:tcMar>
          </w:tcPr>
          <w:p>
            <w:r>
              <w:rPr>
                <w:b w:val="false"/>
                <w:bCs w:val="false"/>
                <w:color w:val="222222"/>
                <w:sz w:val="20"/>
                <w:szCs w:val="20"/>
              </w:rPr>
              <w:t xml:space="preserve">PQC engine compiles; basic FUSE mount works (“Hello World” read)</w:t>
            </w:r>
          </w:p>
        </w:tc>
      </w:tr>
      <w:tr>
        <w:tc>
          <w:tcPr>
            <w:tcW w:type="dxa" w:w="2400"/>
            <w:shd w:fill="F2F6FB" w:val="clear"/>
            <w:tcMar>
              <w:top w:type="dxa" w:w="80"/>
              <w:left w:type="dxa" w:w="100"/>
              <w:bottom w:type="dxa" w:w="80"/>
              <w:right w:type="dxa" w:w="100"/>
            </w:tcMar>
          </w:tcPr>
          <w:p>
            <w:r>
              <w:rPr>
                <w:b w:val="false"/>
                <w:bCs w:val="false"/>
                <w:color w:val="222222"/>
                <w:sz w:val="20"/>
                <w:szCs w:val="20"/>
              </w:rPr>
              <w:t xml:space="preserve">Week 2</w:t>
            </w:r>
          </w:p>
        </w:tc>
        <w:tc>
          <w:tcPr>
            <w:tcW w:type="dxa" w:w="6950"/>
            <w:shd w:fill="F2F6FB" w:val="clear"/>
            <w:tcMar>
              <w:top w:type="dxa" w:w="80"/>
              <w:left w:type="dxa" w:w="100"/>
              <w:bottom w:type="dxa" w:w="80"/>
              <w:right w:type="dxa" w:w="100"/>
            </w:tcMar>
          </w:tcPr>
          <w:p>
            <w:r>
              <w:rPr>
                <w:b w:val="false"/>
                <w:bCs w:val="false"/>
                <w:color w:val="222222"/>
                <w:sz w:val="20"/>
                <w:szCs w:val="20"/>
              </w:rPr>
              <w:t xml:space="preserve">Rust↔C FFI bridge complete; transparent write-path encryption functional</w:t>
            </w:r>
          </w:p>
        </w:tc>
      </w:tr>
      <w:tr>
        <w:tc>
          <w:tcPr>
            <w:tcW w:type="dxa" w:w="2400"/>
            <w:shd w:fill="FFFFFF" w:val="clear"/>
            <w:tcMar>
              <w:top w:type="dxa" w:w="80"/>
              <w:left w:type="dxa" w:w="100"/>
              <w:bottom w:type="dxa" w:w="80"/>
              <w:right w:type="dxa" w:w="100"/>
            </w:tcMar>
          </w:tcPr>
          <w:p>
            <w:r>
              <w:rPr>
                <w:b w:val="false"/>
                <w:bCs w:val="false"/>
                <w:color w:val="222222"/>
                <w:sz w:val="20"/>
                <w:szCs w:val="20"/>
              </w:rPr>
              <w:t xml:space="preserve">Mid Review</w:t>
            </w:r>
          </w:p>
        </w:tc>
        <w:tc>
          <w:tcPr>
            <w:tcW w:type="dxa" w:w="6950"/>
            <w:shd w:fill="FFFFFF" w:val="clear"/>
            <w:tcMar>
              <w:top w:type="dxa" w:w="80"/>
              <w:left w:type="dxa" w:w="100"/>
              <w:bottom w:type="dxa" w:w="80"/>
              <w:right w:type="dxa" w:w="100"/>
            </w:tcMar>
          </w:tcPr>
          <w:p>
            <w:r>
              <w:rPr>
                <w:b w:val="false"/>
                <w:bCs w:val="false"/>
                <w:color w:val="222222"/>
                <w:sz w:val="20"/>
                <w:szCs w:val="20"/>
              </w:rPr>
              <w:t xml:space="preserve">Crypto Audit + Mount Validation (20th–27th of the month)</w:t>
            </w:r>
          </w:p>
        </w:tc>
      </w:tr>
      <w:tr>
        <w:tc>
          <w:tcPr>
            <w:tcW w:type="dxa" w:w="2400"/>
            <w:shd w:fill="F2F6FB" w:val="clear"/>
            <w:tcMar>
              <w:top w:type="dxa" w:w="80"/>
              <w:left w:type="dxa" w:w="100"/>
              <w:bottom w:type="dxa" w:w="80"/>
              <w:right w:type="dxa" w:w="100"/>
            </w:tcMar>
          </w:tcPr>
          <w:p>
            <w:r>
              <w:rPr>
                <w:b w:val="false"/>
                <w:bCs w:val="false"/>
                <w:color w:val="222222"/>
                <w:sz w:val="20"/>
                <w:szCs w:val="20"/>
              </w:rPr>
              <w:t xml:space="preserve">Week 3</w:t>
            </w:r>
          </w:p>
        </w:tc>
        <w:tc>
          <w:tcPr>
            <w:tcW w:type="dxa" w:w="6950"/>
            <w:shd w:fill="F2F6FB" w:val="clear"/>
            <w:tcMar>
              <w:top w:type="dxa" w:w="80"/>
              <w:left w:type="dxa" w:w="100"/>
              <w:bottom w:type="dxa" w:w="80"/>
              <w:right w:type="dxa" w:w="100"/>
            </w:tcMar>
          </w:tcPr>
          <w:p>
            <w:r>
              <w:rPr>
                <w:b w:val="false"/>
                <w:bCs w:val="false"/>
                <w:color w:val="222222"/>
                <w:sz w:val="20"/>
                <w:szCs w:val="20"/>
              </w:rPr>
              <w:t xml:space="preserve">Dilithium signatures integrated; transparent read-path decryption functional</w:t>
            </w:r>
          </w:p>
        </w:tc>
      </w:tr>
      <w:tr>
        <w:tc>
          <w:tcPr>
            <w:tcW w:type="dxa" w:w="2400"/>
            <w:shd w:fill="FFFFFF" w:val="clear"/>
            <w:tcMar>
              <w:top w:type="dxa" w:w="80"/>
              <w:left w:type="dxa" w:w="100"/>
              <w:bottom w:type="dxa" w:w="80"/>
              <w:right w:type="dxa" w:w="100"/>
            </w:tcMar>
          </w:tcPr>
          <w:p>
            <w:r>
              <w:rPr>
                <w:b w:val="false"/>
                <w:bCs w:val="false"/>
                <w:color w:val="222222"/>
                <w:sz w:val="20"/>
                <w:szCs w:val="20"/>
              </w:rPr>
              <w:t xml:space="preserve">Week 4</w:t>
            </w:r>
          </w:p>
        </w:tc>
        <w:tc>
          <w:tcPr>
            <w:tcW w:type="dxa" w:w="6950"/>
            <w:shd w:fill="FFFFFF" w:val="clear"/>
            <w:tcMar>
              <w:top w:type="dxa" w:w="80"/>
              <w:left w:type="dxa" w:w="100"/>
              <w:bottom w:type="dxa" w:w="80"/>
              <w:right w:type="dxa" w:w="100"/>
            </w:tcMar>
          </w:tcPr>
          <w:p>
            <w:r>
              <w:rPr>
                <w:b w:val="false"/>
                <w:bCs w:val="false"/>
                <w:color w:val="222222"/>
                <w:sz w:val="20"/>
                <w:szCs w:val="20"/>
              </w:rPr>
              <w:t xml:space="preserve">Memory-wiping hardened; CLI polished; vault init/mount/unmount finalized</w:t>
            </w:r>
          </w:p>
        </w:tc>
      </w:tr>
      <w:tr>
        <w:tc>
          <w:tcPr>
            <w:tcW w:type="dxa" w:w="2400"/>
            <w:shd w:fill="F2F6FB" w:val="clear"/>
            <w:tcMar>
              <w:top w:type="dxa" w:w="80"/>
              <w:left w:type="dxa" w:w="100"/>
              <w:bottom w:type="dxa" w:w="80"/>
              <w:right w:type="dxa" w:w="100"/>
            </w:tcMar>
          </w:tcPr>
          <w:p>
            <w:r>
              <w:rPr>
                <w:b w:val="false"/>
                <w:bCs w:val="false"/>
                <w:color w:val="222222"/>
                <w:sz w:val="20"/>
                <w:szCs w:val="20"/>
              </w:rPr>
              <w:t xml:space="preserve">Final Review</w:t>
            </w:r>
          </w:p>
        </w:tc>
        <w:tc>
          <w:tcPr>
            <w:tcW w:type="dxa" w:w="6950"/>
            <w:shd w:fill="F2F6FB" w:val="clear"/>
            <w:tcMar>
              <w:top w:type="dxa" w:w="80"/>
              <w:left w:type="dxa" w:w="100"/>
              <w:bottom w:type="dxa" w:w="80"/>
              <w:right w:type="dxa" w:w="100"/>
            </w:tcMar>
          </w:tcPr>
          <w:p>
            <w:r>
              <w:rPr>
                <w:b w:val="false"/>
                <w:bCs w:val="false"/>
                <w:color w:val="222222"/>
                <w:sz w:val="20"/>
                <w:szCs w:val="20"/>
              </w:rPr>
              <w:t xml:space="preserve">Full end-to-end demo (5th–10th of following month)</w:t>
            </w:r>
          </w:p>
        </w:tc>
      </w:tr>
    </w:tbl>
    <w:p>
      <w:pPr>
        <w:spacing w:after="160" w:line="276"/>
      </w:pPr>
      <w:r>
        <w:rPr>
          <w:color w:val="222222"/>
          <w:sz w:val="22"/>
          <w:szCs w:val="22"/>
        </w:rPr>
        <w:t xml:space="preserve">See the companion QuantumVault Implementation Guide for the detailed day-by-day breakdown, Git branching model, and commit message conventions required to satisfy SOP GitHub compliance.</w:t>
      </w:r>
    </w:p>
    <w:p>
      <w:pPr>
        <w:pStyle w:val="Heading1"/>
        <w:pBdr>
          <w:bottom w:val="single" w:color="2E74B5" w:sz="6" w:space="4"/>
        </w:pBdr>
        <w:spacing w:after="200" w:before="400"/>
      </w:pPr>
      <w:r>
        <w:rPr>
          <w:b/>
          <w:bCs/>
          <w:color w:val="1F3864"/>
          <w:sz w:val="30"/>
          <w:szCs w:val="30"/>
        </w:rPr>
        <w:t xml:space="preserve">9. Risks &amp; Assumptions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1F3864" w:val="clear"/>
            <w:tcMar>
              <w:top w:type="dxa" w:w="80"/>
              <w:left w:type="dxa" w:w="100"/>
              <w:bottom w:type="dxa" w:w="80"/>
              <w:right w:type="dxa" w:w="100"/>
            </w:tcMar>
          </w:tcPr>
          <w:p>
            <w:r>
              <w:rPr>
                <w:b/>
                <w:bCs/>
                <w:color w:val="FFFFFF"/>
                <w:sz w:val="20"/>
                <w:szCs w:val="20"/>
              </w:rPr>
              <w:t xml:space="preserve">Risk</w:t>
            </w:r>
          </w:p>
        </w:tc>
        <w:tc>
          <w:tcPr>
            <w:tcW w:type="dxa" w:w="6150"/>
            <w:shd w:fill="1F3864" w:val="clear"/>
            <w:tcMar>
              <w:top w:type="dxa" w:w="80"/>
              <w:left w:type="dxa" w:w="100"/>
              <w:bottom w:type="dxa" w:w="80"/>
              <w:right w:type="dxa" w:w="100"/>
            </w:tcMar>
          </w:tcPr>
          <w:p>
            <w:r>
              <w:rPr>
                <w:b/>
                <w:bCs/>
                <w:color w:val="FFFFFF"/>
                <w:sz w:val="20"/>
                <w:szCs w:val="20"/>
              </w:rPr>
              <w:t xml:space="preserve">Mitigation</w:t>
            </w:r>
          </w:p>
        </w:tc>
      </w:tr>
      <w:tr>
        <w:tc>
          <w:tcPr>
            <w:tcW w:type="dxa" w:w="3200"/>
            <w:shd w:fill="FFFFFF" w:val="clear"/>
            <w:tcMar>
              <w:top w:type="dxa" w:w="80"/>
              <w:left w:type="dxa" w:w="100"/>
              <w:bottom w:type="dxa" w:w="80"/>
              <w:right w:type="dxa" w:w="100"/>
            </w:tcMar>
          </w:tcPr>
          <w:p>
            <w:r>
              <w:rPr>
                <w:b w:val="false"/>
                <w:bCs w:val="false"/>
                <w:color w:val="222222"/>
                <w:sz w:val="20"/>
                <w:szCs w:val="20"/>
              </w:rPr>
              <w:t xml:space="preserve">liboqs API changes/instability</w:t>
            </w:r>
          </w:p>
        </w:tc>
        <w:tc>
          <w:tcPr>
            <w:tcW w:type="dxa" w:w="6150"/>
            <w:shd w:fill="FFFFFF" w:val="clear"/>
            <w:tcMar>
              <w:top w:type="dxa" w:w="80"/>
              <w:left w:type="dxa" w:w="100"/>
              <w:bottom w:type="dxa" w:w="80"/>
              <w:right w:type="dxa" w:w="100"/>
            </w:tcMar>
          </w:tcPr>
          <w:p>
            <w:r>
              <w:rPr>
                <w:b w:val="false"/>
                <w:bCs w:val="false"/>
                <w:color w:val="222222"/>
                <w:sz w:val="20"/>
                <w:szCs w:val="20"/>
              </w:rPr>
              <w:t xml:space="preserve">Pin a specific liboqs release tag at project start; do not track main branch</w:t>
            </w:r>
          </w:p>
        </w:tc>
      </w:tr>
      <w:tr>
        <w:tc>
          <w:tcPr>
            <w:tcW w:type="dxa" w:w="3200"/>
            <w:shd w:fill="F2F6FB" w:val="clear"/>
            <w:tcMar>
              <w:top w:type="dxa" w:w="80"/>
              <w:left w:type="dxa" w:w="100"/>
              <w:bottom w:type="dxa" w:w="80"/>
              <w:right w:type="dxa" w:w="100"/>
            </w:tcMar>
          </w:tcPr>
          <w:p>
            <w:r>
              <w:rPr>
                <w:b w:val="false"/>
                <w:bCs w:val="false"/>
                <w:color w:val="222222"/>
                <w:sz w:val="20"/>
                <w:szCs w:val="20"/>
              </w:rPr>
              <w:t xml:space="preserve">FUSE performance overhead on large files</w:t>
            </w:r>
          </w:p>
        </w:tc>
        <w:tc>
          <w:tcPr>
            <w:tcW w:type="dxa" w:w="6150"/>
            <w:shd w:fill="F2F6FB" w:val="clear"/>
            <w:tcMar>
              <w:top w:type="dxa" w:w="80"/>
              <w:left w:type="dxa" w:w="100"/>
              <w:bottom w:type="dxa" w:w="80"/>
              <w:right w:type="dxa" w:w="100"/>
            </w:tcMar>
          </w:tcPr>
          <w:p>
            <w:r>
              <w:rPr>
                <w:b w:val="false"/>
                <w:bCs w:val="false"/>
                <w:color w:val="222222"/>
                <w:sz w:val="20"/>
                <w:szCs w:val="20"/>
              </w:rPr>
              <w:t xml:space="preserve">Benchmark early (Week 1); stream encryption in chunks instead of buffering whole files</w:t>
            </w:r>
          </w:p>
        </w:tc>
      </w:tr>
      <w:tr>
        <w:tc>
          <w:tcPr>
            <w:tcW w:type="dxa" w:w="3200"/>
            <w:shd w:fill="FFFFFF" w:val="clear"/>
            <w:tcMar>
              <w:top w:type="dxa" w:w="80"/>
              <w:left w:type="dxa" w:w="100"/>
              <w:bottom w:type="dxa" w:w="80"/>
              <w:right w:type="dxa" w:w="100"/>
            </w:tcMar>
          </w:tcPr>
          <w:p>
            <w:r>
              <w:rPr>
                <w:b w:val="false"/>
                <w:bCs w:val="false"/>
                <w:color w:val="222222"/>
                <w:sz w:val="20"/>
                <w:szCs w:val="20"/>
              </w:rPr>
              <w:t xml:space="preserve">Rust/C FFI memory-safety bugs</w:t>
            </w:r>
          </w:p>
        </w:tc>
        <w:tc>
          <w:tcPr>
            <w:tcW w:type="dxa" w:w="6150"/>
            <w:shd w:fill="FFFFFF" w:val="clear"/>
            <w:tcMar>
              <w:top w:type="dxa" w:w="80"/>
              <w:left w:type="dxa" w:w="100"/>
              <w:bottom w:type="dxa" w:w="80"/>
              <w:right w:type="dxa" w:w="100"/>
            </w:tcMar>
          </w:tcPr>
          <w:p>
            <w:r>
              <w:rPr>
                <w:b w:val="false"/>
                <w:bCs w:val="false"/>
                <w:color w:val="222222"/>
                <w:sz w:val="20"/>
                <w:szCs w:val="20"/>
              </w:rPr>
              <w:t xml:space="preserve">Wrap all unsafe blocks tightly; fuzz-test the FFI boundary in Week 2</w:t>
            </w:r>
          </w:p>
        </w:tc>
      </w:tr>
      <w:tr>
        <w:tc>
          <w:tcPr>
            <w:tcW w:type="dxa" w:w="3200"/>
            <w:shd w:fill="F2F6FB" w:val="clear"/>
            <w:tcMar>
              <w:top w:type="dxa" w:w="80"/>
              <w:left w:type="dxa" w:w="100"/>
              <w:bottom w:type="dxa" w:w="80"/>
              <w:right w:type="dxa" w:w="100"/>
            </w:tcMar>
          </w:tcPr>
          <w:p>
            <w:r>
              <w:rPr>
                <w:b w:val="false"/>
                <w:bCs w:val="false"/>
                <w:color w:val="222222"/>
                <w:sz w:val="20"/>
                <w:szCs w:val="20"/>
              </w:rPr>
              <w:t xml:space="preserve">Team member unresponsive mid-cycle</w:t>
            </w:r>
          </w:p>
        </w:tc>
        <w:tc>
          <w:tcPr>
            <w:tcW w:type="dxa" w:w="6150"/>
            <w:shd w:fill="F2F6FB" w:val="clear"/>
            <w:tcMar>
              <w:top w:type="dxa" w:w="80"/>
              <w:left w:type="dxa" w:w="100"/>
              <w:bottom w:type="dxa" w:w="80"/>
              <w:right w:type="dxa" w:w="100"/>
            </w:tcMar>
          </w:tcPr>
          <w:p>
            <w:r>
              <w:rPr>
                <w:b w:val="false"/>
                <w:bCs w:val="false"/>
                <w:color w:val="222222"/>
                <w:sz w:val="20"/>
                <w:szCs w:val="20"/>
              </w:rPr>
              <w:t xml:space="preserve">Follow SOP Section 7 (unresponsive member protocol) — continue without blocking</w:t>
            </w:r>
          </w:p>
        </w:tc>
      </w:tr>
      <w:tr>
        <w:tc>
          <w:tcPr>
            <w:tcW w:type="dxa" w:w="3200"/>
            <w:shd w:fill="FFFFFF" w:val="clear"/>
            <w:tcMar>
              <w:top w:type="dxa" w:w="80"/>
              <w:left w:type="dxa" w:w="100"/>
              <w:bottom w:type="dxa" w:w="80"/>
              <w:right w:type="dxa" w:w="100"/>
            </w:tcMar>
          </w:tcPr>
          <w:p>
            <w:r>
              <w:rPr>
                <w:b w:val="false"/>
                <w:bCs w:val="false"/>
                <w:color w:val="222222"/>
                <w:sz w:val="20"/>
                <w:szCs w:val="20"/>
              </w:rPr>
              <w:t xml:space="preserve">Key material leakage via swap</w:t>
            </w:r>
          </w:p>
        </w:tc>
        <w:tc>
          <w:tcPr>
            <w:tcW w:type="dxa" w:w="6150"/>
            <w:shd w:fill="FFFFFF" w:val="clear"/>
            <w:tcMar>
              <w:top w:type="dxa" w:w="80"/>
              <w:left w:type="dxa" w:w="100"/>
              <w:bottom w:type="dxa" w:w="80"/>
              <w:right w:type="dxa" w:w="100"/>
            </w:tcMar>
          </w:tcPr>
          <w:p>
            <w:r>
              <w:rPr>
                <w:b w:val="false"/>
                <w:bCs w:val="false"/>
                <w:color w:val="222222"/>
                <w:sz w:val="20"/>
                <w:szCs w:val="20"/>
              </w:rPr>
              <w:t xml:space="preserve">Implement mlock/explicit_bzero as a Week 4 gate, not an afterthought</w:t>
            </w:r>
          </w:p>
        </w:tc>
      </w:tr>
    </w:tbl>
    <w:p>
      <w:pPr>
        <w:pStyle w:val="Heading1"/>
        <w:pBdr>
          <w:bottom w:val="single" w:color="2E74B5" w:sz="6" w:space="4"/>
        </w:pBdr>
        <w:spacing w:after="200" w:before="400"/>
      </w:pPr>
      <w:r>
        <w:rPr>
          <w:b/>
          <w:bCs/>
          <w:color w:val="1F3864"/>
          <w:sz w:val="30"/>
          <w:szCs w:val="30"/>
        </w:rPr>
        <w:t xml:space="preserve">10. Definition of Done (Final Acceptance Criteria)</w:t>
      </w:r>
    </w:p>
    <w:p>
      <w:pPr>
        <w:pStyle w:val="ListParagraph"/>
        <w:numPr>
          <w:ilvl w:val="0"/>
          <w:numId w:val="2"/>
        </w:numPr>
        <w:spacing w:after="90"/>
      </w:pPr>
      <w:r>
        <w:rPr>
          <w:color w:val="222222"/>
          <w:sz w:val="22"/>
          <w:szCs w:val="22"/>
        </w:rPr>
        <w:t xml:space="preserve">A file written into the mounted vault is unreadable by any tool outside the vault (verified via OpenSSL/hexdump).</w:t>
      </w:r>
    </w:p>
    <w:p>
      <w:pPr>
        <w:pStyle w:val="ListParagraph"/>
        <w:numPr>
          <w:ilvl w:val="0"/>
          <w:numId w:val="2"/>
        </w:numPr>
        <w:spacing w:after="90"/>
      </w:pPr>
      <w:r>
        <w:rPr>
          <w:color w:val="222222"/>
          <w:sz w:val="22"/>
          <w:szCs w:val="22"/>
        </w:rPr>
        <w:t xml:space="preserve">The same file, read back through the mount, is byte-identical to the original.</w:t>
      </w:r>
    </w:p>
    <w:p>
      <w:pPr>
        <w:pStyle w:val="ListParagraph"/>
        <w:numPr>
          <w:ilvl w:val="0"/>
          <w:numId w:val="2"/>
        </w:numPr>
        <w:spacing w:after="90"/>
      </w:pPr>
      <w:r>
        <w:rPr>
          <w:color w:val="222222"/>
          <w:sz w:val="22"/>
          <w:szCs w:val="22"/>
        </w:rPr>
        <w:t xml:space="preserve">A tampered ciphertext file fails Dilithium signature verification and is flagged, not silently served.</w:t>
      </w:r>
    </w:p>
    <w:p>
      <w:pPr>
        <w:pStyle w:val="ListParagraph"/>
        <w:numPr>
          <w:ilvl w:val="0"/>
          <w:numId w:val="2"/>
        </w:numPr>
        <w:spacing w:after="90"/>
      </w:pPr>
      <w:r>
        <w:rPr>
          <w:color w:val="222222"/>
          <w:sz w:val="22"/>
          <w:szCs w:val="22"/>
        </w:rPr>
        <w:t xml:space="preserve">A memory audit shows no unencrypted private key bytes swapped to disk.</w:t>
      </w:r>
    </w:p>
    <w:p>
      <w:pPr>
        <w:pStyle w:val="ListParagraph"/>
        <w:numPr>
          <w:ilvl w:val="0"/>
          <w:numId w:val="2"/>
        </w:numPr>
        <w:spacing w:after="90"/>
      </w:pPr>
      <w:r>
        <w:rPr>
          <w:color w:val="222222"/>
          <w:sz w:val="22"/>
          <w:szCs w:val="22"/>
        </w:rPr>
        <w:t xml:space="preserve">CLI can fully init → keygen → mount → use → unmount a vault with no manual file editing.</w:t>
      </w:r>
    </w:p>
    <w:p>
      <w:pPr>
        <w:pStyle w:val="ListParagraph"/>
        <w:numPr>
          <w:ilvl w:val="0"/>
          <w:numId w:val="2"/>
        </w:numPr>
        <w:spacing w:after="90"/>
      </w:pPr>
      <w:r>
        <w:rPr>
          <w:color w:val="222222"/>
          <w:sz w:val="22"/>
          <w:szCs w:val="22"/>
        </w:rPr>
        <w:t xml:space="preserve">GitHub repository meets SOP commit-discipline thresholds for both Mid and Final Review.</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2026-08-11T13:25:15.953Z</dcterms:created>
  <dcterms:modified xsi:type="dcterms:W3CDTF">2026-08-11T13:25:15.971Z</dcterms:modified>
</cp:coreProperties>
</file>

<file path=docProps/custom.xml><?xml version="1.0" encoding="utf-8"?>
<Properties xmlns="http://schemas.openxmlformats.org/officeDocument/2006/custom-properties" xmlns:vt="http://schemas.openxmlformats.org/officeDocument/2006/docPropsVTypes"/>
</file>