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5F"/>
          <w:sz w:val="44"/>
          <w:szCs w:val="44"/>
        </w:rPr>
        <w:t xml:space="preserve">Predictive Inventory &amp; Workforce Planning System</w:t>
      </w:r>
    </w:p>
    <w:p>
      <w:pPr>
        <w:spacing w:after="60"/>
        <w:jc w:val="center"/>
      </w:pPr>
      <w:r>
        <w:rPr>
          <w:color w:val="2E6E82"/>
          <w:sz w:val="28"/>
          <w:szCs w:val="28"/>
        </w:rPr>
        <w:t xml:space="preserve">Data Dictionary &amp; Dataset Connection Reference</w:t>
      </w:r>
    </w:p>
    <w:p>
      <w:pPr>
        <w:spacing w:after="400"/>
        <w:jc w:val="center"/>
      </w:pPr>
      <w:r>
        <w:rPr>
          <w:i/>
          <w:iCs/>
          <w:color w:val="555555"/>
          <w:sz w:val="20"/>
          <w:szCs w:val="20"/>
        </w:rPr>
        <w:t xml:space="preserve">Product: EcoFit Smart Bottle  |  Period: Jan 2023 - Dec 2024  |  730 daily records per dataset</w:t>
      </w:r>
    </w:p>
    <w:p>
      <w:pPr>
        <w:pStyle w:val="Heading1"/>
      </w:pPr>
      <w:r>
        <w:t xml:space="preserve">1. Data Dictionary</w:t>
      </w:r>
    </w:p>
    <w:p>
      <w:pPr>
        <w:spacing w:after="160"/>
      </w:pPr>
      <w:r>
        <w:rPr>
          <w:b w:val="false"/>
          <w:bCs w:val="false"/>
          <w:i w:val="false"/>
          <w:iCs w:val="false"/>
          <w:sz w:val="22"/>
          <w:szCs w:val="22"/>
        </w:rPr>
        <w:t xml:space="preserve">All three datasets are synthetic, generated in Python with NumPy/Pandas, and cover the same 730-day window (January 1, 2023 to December 30, 2024) for a single product line, "EcoFit Smart Bottle." Each dataset is a daily time series and shares the Date column as its join key.</w:t>
      </w:r>
    </w:p>
    <w:p>
      <w:pPr>
        <w:pStyle w:val="Heading2"/>
      </w:pPr>
      <w:r>
        <w:t xml:space="preserve">1.1  Sales Dataset — synthetic_sales_data_v2.csv</w:t>
      </w:r>
    </w:p>
    <w:p>
      <w:pPr>
        <w:spacing w:after="160"/>
      </w:pPr>
      <w:r>
        <w:rPr>
          <w:b w:val="false"/>
          <w:bCs w:val="false"/>
          <w:i/>
          <w:iCs/>
          <w:sz w:val="22"/>
          <w:szCs w:val="22"/>
        </w:rPr>
        <w:t xml:space="preserve">Purpose: demand forecasting. This is the upstream source dataset — every other module derives its core driver (UnitsSold) from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760"/>
        <w:gridCol w:w="180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Data Type</w:t>
            </w:r>
          </w:p>
        </w:tc>
        <w:tc>
          <w:tcPr>
            <w:tcW w:type="dxa" w:w="37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Notes / Range</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Date</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Date (YYYY-MM-DD)</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Calendar date of the record. One row per day.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2023-01-01 to 2024-12-30</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Product</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Text</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Product name. Constant across the entire dataset by design.</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"EcoFit Smart Bottle"</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DayOfWeek</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Text</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Day name, derived from Date.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Monday … Sunday</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UnitsSold</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Float</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Units sold that day. The core demand signal that drives Inventory and Workforce datasets.</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0 - 441; 8 values missing (NaN)</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UnitPrice</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Float (INR)</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Selling price per unit. Changes 3 times across the 2-year window to simulate price regimes.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245.0 / 250.0 / 260.0 / 270.0</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Revenue</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Float (INR)</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UnitsSold x UnitPrice.</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Derived field</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MarketingSpend</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Float (INR)</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Daily ad spend. Affects demand with a 1-day lag (diminishing returns via sqrt).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~2,000 - 22,600</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CompetitorPriceIndex</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Float</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Index around 100 = price parity with competitor. Below 100 = competitor undercutting (softens our demand).</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~99 - 117</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WebSearchInterest</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Float</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Search interest proxy (e.g. Google Trends style index). Strongest leading indicator in the dataset, affects demand with a 2-day lag.</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10 - 100</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IsPromo</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Binary (0/1)</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Whether a promotional campaign was active that day.</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1 on ~8% of days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IsHoliday</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Binary (0/1)</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Indian national holiday or festive window flag.</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1 on 18 days/year</w:t>
            </w:r>
          </w:p>
        </w:tc>
      </w:tr>
    </w:tbl>
    <w:p>
      <w:r>
        <w:br w:type="page"/>
      </w:r>
    </w:p>
    <w:p>
      <w:pPr>
        <w:pStyle w:val="Heading2"/>
      </w:pPr>
      <w:r>
        <w:t xml:space="preserve">1.2  Inventory Dataset — synthetic_inventory_data_v2.csv</w:t>
      </w:r>
    </w:p>
    <w:p>
      <w:pPr>
        <w:spacing w:after="160"/>
      </w:pPr>
      <w:r>
        <w:rPr>
          <w:b w:val="false"/>
          <w:bCs w:val="false"/>
          <w:i/>
          <w:iCs/>
          <w:sz w:val="22"/>
          <w:szCs w:val="22"/>
        </w:rPr>
        <w:t xml:space="preserve">Purpose: inventory planning and reorder logic. Consumes Sales.UnitsSold to simulate daily stock depletion, replenishment, and supplier lead-time variability.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760"/>
        <w:gridCol w:w="180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Data Type</w:t>
            </w:r>
          </w:p>
        </w:tc>
        <w:tc>
          <w:tcPr>
            <w:tcW w:type="dxa" w:w="37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Notes / Range</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Date</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Date (YYYY-MM-DD)</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Calendar date. Joins directly to Sales and Workforce on this column.</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Same range as Sales</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Product</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Text</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Product name, inherited from Sales dataset.</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"EcoFit Smart Bottle"</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StockOnHand</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Physical units in the warehouse at end of day, after depletion and any arrivals.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0 - ~4,000</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UnitsSold</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Float</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Same demand values as the Sales dataset (carried over for convenience, including the same NaNs).</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Identical to Sales.UnitsSold</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ReorderPoint</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Stock level that triggers a new purchase order. Computed from a 30-day rolling demand average and lead time.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Rises with demand, ~900 - 1,500</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SafetyStock</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Buffer stock held to absorb demand variability at a 95% service level (z = 1.65).</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~55 - 100</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OrderPlaced</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Binary (0/1)</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Whether a new purchase order was triggered that day.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1 on 51 days total</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OrderQuantity</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Units ordered, sized using an Economic Order Quantity (EOQ) formula. 0 on non-order days.</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~2,800 - 4,000 when ordered</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SupplierLeadTimeDays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Days between placing and receiving an order. Includes 5 deliberate supply disruption windows.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2 - 17 days</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OrderArrived</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Binary (0/1)</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Whether a previously placed order was received into stock that day.</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1 on order-arrival days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StockoutFlag</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Binary (0/1)</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Whether stock hit zero and could not fully meet that day's demand.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1 on 16 days (2.2% of year)</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UnitsShort</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Units of demand that could not be fulfilled due to stockout (lost sales).</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0 except on stockout days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DailyHoldingCost</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Float (INR)</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Cost of holding that day's StockOnHand, based on an annual holding cost of INR 8/unit.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Derived field</w:t>
            </w:r>
          </w:p>
        </w:tc>
      </w:tr>
    </w:tbl>
    <w:p>
      <w:r>
        <w:br w:type="page"/>
      </w:r>
    </w:p>
    <w:p>
      <w:pPr>
        <w:pStyle w:val="Heading2"/>
      </w:pPr>
      <w:r>
        <w:t xml:space="preserve">1.3  Workforce Dataset — synthetic_workforce_data_v2.csv</w:t>
      </w:r>
    </w:p>
    <w:p>
      <w:pPr>
        <w:spacing w:after="160"/>
      </w:pPr>
      <w:r>
        <w:rPr>
          <w:b w:val="false"/>
          <w:bCs w:val="false"/>
          <w:i/>
          <w:iCs/>
          <w:sz w:val="22"/>
          <w:szCs w:val="22"/>
        </w:rPr>
        <w:t xml:space="preserve">Purpose: workforce requirement estimation. Consumes Sales.UnitsSold to simulate required vs. staffed headcount, hiring lag, attrition, overtime, and labor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760"/>
        <w:gridCol w:w="180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Data Type</w:t>
            </w:r>
          </w:p>
        </w:tc>
        <w:tc>
          <w:tcPr>
            <w:tcW w:type="dxa" w:w="37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Notes / Range</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Date</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Date (YYYY-MM-DD)</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Calendar date. Joins directly to Sales and Inventory on this column.</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Same range as Sales</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Product</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Text</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Product name, inherited from Sales dataset.</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"EcoFit Smart Bottle"</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UnitsSold</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Float</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Same demand values as the Sales dataset (carried over, including NaNs).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Identical to Sales.UnitsSold</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RequiredHeadcount</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Workers needed to process that day's workload, based on a 25-units/worker/day throughput constant and a forward-looking 7-day average.</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6 - 12</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StaffedHeadcount</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Actual workers on staff that day, from the hiring/attrition simulation.</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5 - 12</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HeadcountGap</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RequiredHeadcount minus StaffedHeadcount. Positive = understaffed.</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-4 to +6</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OvertimeHoursPerWorker</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Float</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Overtime hours used per worker to cover a staffing shortfall, capped at 4 hrs/day.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0.0 - 4.0</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BacklogUnits</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Units of workload that could not be processed even with overtime (the labor equivalent of a stockout).</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0 except on 47 backlog days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BacklogFlag</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Binary (0/1)</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Whether a processing backlog occurred that day.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1 on 47 days (6.4% of year)</w:t>
            </w:r>
          </w:p>
        </w:tc>
      </w:tr>
      <w:tr>
        <w:tc>
          <w:tcPr>
            <w:tcW w:type="dxa" w:w="2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bCs/>
                <w:sz w:val="19"/>
                <w:szCs w:val="19"/>
              </w:rPr>
              <w:t xml:space="preserve">EmployeeSatisfactionIndex</w:t>
            </w:r>
          </w:p>
        </w:tc>
        <w:tc>
          <w:tcPr>
            <w:tcW w:type="dxa" w:w="14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Float</w:t>
            </w:r>
          </w:p>
        </w:tc>
        <w:tc>
          <w:tcPr>
            <w:tcW w:type="dxa" w:w="37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Bounded index (30-95) that declines under sustained overtime and recovers when OT is low.</w:t>
            </w:r>
          </w:p>
        </w:tc>
        <w:tc>
          <w:tcPr>
            <w:tcW w:type="dxa" w:w="18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Median 95, dips to 78 under strain</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bCs/>
                <w:sz w:val="19"/>
                <w:szCs w:val="19"/>
              </w:rPr>
              <w:t xml:space="preserve">TotalLaborCost</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Float (INR)</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Standard wage (INR 900/worker/day) plus 1.5x overtime pay.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Derived field</w:t>
            </w:r>
          </w:p>
        </w:tc>
      </w:tr>
    </w:tbl>
    <w:p>
      <w:r>
        <w:br w:type="page"/>
      </w:r>
    </w:p>
    <w:p>
      <w:pPr>
        <w:pStyle w:val="Heading1"/>
      </w:pPr>
      <w:r>
        <w:t xml:space="preserve">2. How the Three Datasets Are Connected</w:t>
      </w:r>
    </w:p>
    <w:p>
      <w:pPr>
        <w:spacing w:after="160"/>
      </w:pPr>
      <w:r>
        <w:rPr>
          <w:b w:val="false"/>
          <w:bCs w:val="false"/>
          <w:i w:val="false"/>
          <w:iCs w:val="false"/>
          <w:sz w:val="22"/>
          <w:szCs w:val="22"/>
        </w:rPr>
        <w:t xml:space="preserve">The Predictive Inventory &amp; Workforce Planning System is built around a single idea: one demand signal flows downstream through two operational consequences. The Sales dataset is the upstream driver. The Inventory and Workforce datasets are both downstream consumers of that same signal, each modeling a different real-world response to demand — supply chain on one side, labor on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5F" w:sz="4"/>
              <w:left w:val="single" w:color="1F4E5F" w:sz="4"/>
              <w:bottom w:val="single" w:color="1F4E5F" w:sz="4"/>
              <w:right w:val="single" w:color="1F4E5F" w:sz="4"/>
            </w:tcBorders>
            <w:shd w:fill="EAF3F6" w:val="clear"/>
            <w:tcMar>
              <w:top w:type="dxa" w:w="140"/>
              <w:left w:type="dxa" w:w="180"/>
              <w:bottom w:type="dxa" w:w="140"/>
              <w:right w:type="dxa" w:w="180"/>
            </w:tcMar>
          </w:tcPr>
          <w:p>
            <w:pPr>
              <w:spacing w:after="80"/>
            </w:pPr>
            <w:r>
              <w:rPr>
                <w:b/>
                <w:bCs/>
                <w:color w:val="1F4E5F"/>
                <w:sz w:val="22"/>
                <w:szCs w:val="22"/>
              </w:rPr>
              <w:t xml:space="preserve">The core architecture</w:t>
            </w:r>
          </w:p>
          <w:p>
            <w:r>
              <w:rPr>
                <w:sz w:val="21"/>
                <w:szCs w:val="21"/>
              </w:rPr>
              <w:t xml:space="preserve">Demand Forecast (Sales) -&gt; drives -&gt; Inventory Planning AND Workforce Planning, independently and in parallel. Both downstream modules read the same UnitsSold column but apply completely different operational logic to it.</w:t>
            </w:r>
          </w:p>
        </w:tc>
      </w:tr>
    </w:tbl>
    <w:p>
      <w:pPr>
        <w:pStyle w:val="Heading2"/>
      </w:pPr>
      <w:r>
        <w:t xml:space="preserve">2.1  The shared join key</w:t>
      </w:r>
    </w:p>
    <w:p>
      <w:pPr>
        <w:spacing w:after="160"/>
      </w:pPr>
      <w:r>
        <w:rPr>
          <w:b w:val="false"/>
          <w:bCs w:val="false"/>
          <w:i w:val="false"/>
          <w:iCs w:val="false"/>
          <w:sz w:val="22"/>
          <w:szCs w:val="22"/>
        </w:rPr>
        <w:t xml:space="preserve">All three CSV files share an identical Date column spanning the same 730 days, and a Product column that is constant ("EcoFit Smart Bottle") across all of them since the project was deliberately simplified to a single product. This means any of the three files can be merged with the other two using a simple Date join in Pandas:</w:t>
      </w:r>
    </w:p>
    <w:p>
      <w:pPr>
        <w:spacing w:after="200"/>
      </w:pPr>
      <w:r>
        <w:rPr>
          <w:rFonts w:ascii="Consolas" w:cs="Consolas" w:eastAsia="Consolas" w:hAnsi="Consolas"/>
          <w:sz w:val="20"/>
          <w:szCs w:val="20"/>
        </w:rPr>
        <w:t xml:space="preserve">merged = sales.merge(inventory, on=["Date","Product"]).merge(workforce, on=["Date","Product"])</w:t>
      </w:r>
    </w:p>
    <w:p>
      <w:pPr>
        <w:spacing w:after="160"/>
      </w:pPr>
      <w:r>
        <w:rPr>
          <w:b w:val="false"/>
          <w:bCs w:val="false"/>
          <w:i w:val="false"/>
          <w:iCs w:val="false"/>
          <w:sz w:val="22"/>
          <w:szCs w:val="22"/>
        </w:rPr>
        <w:t xml:space="preserve">Note that UnitsSold appears in all three files. In Sales it is the original column, with its 8 genuine missing values preserved. In Inventory and Workforce it is carried over for convenience and traceability, but both downstream simulations actually compute their internal mechanics using a forward/backward-filled copy of demand — so missing days do not break the stock or staffing simulations, while the team can still see and handle the original NaNs explicitly during EDA on the Sales file itself.</w:t>
      </w:r>
    </w:p>
    <w:p>
      <w:pPr>
        <w:pStyle w:val="Heading2"/>
      </w:pPr>
      <w:r>
        <w:t xml:space="preserve">2.2  Sales -&gt; Inventory: how the link works</w:t>
      </w:r>
    </w:p>
    <w:p>
      <w:pPr>
        <w:spacing w:after="160"/>
      </w:pPr>
      <w:r>
        <w:rPr>
          <w:b w:val="false"/>
          <w:bCs w:val="false"/>
          <w:i w:val="false"/>
          <w:iCs w:val="false"/>
          <w:sz w:val="22"/>
          <w:szCs w:val="22"/>
        </w:rPr>
        <w:t xml:space="preserve">The Inventory dataset's entire stock simulation is driven day-by-day by Sales.UnitsSold:</w:t>
      </w:r>
    </w:p>
    <w:p>
      <w:pPr>
        <w:pStyle w:val="ListParagraph"/>
        <w:numPr>
          <w:ilvl w:val="0"/>
          <w:numId w:val="2"/>
        </w:numPr>
        <w:spacing w:after="80"/>
      </w:pPr>
      <w:r>
        <w:rPr>
          <w:sz w:val="22"/>
          <w:szCs w:val="22"/>
        </w:rPr>
        <w:t xml:space="preserve">Each day, stock is depleted by that day's UnitsSold.</w:t>
      </w:r>
    </w:p>
    <w:p>
      <w:pPr>
        <w:pStyle w:val="ListParagraph"/>
        <w:numPr>
          <w:ilvl w:val="0"/>
          <w:numId w:val="2"/>
        </w:numPr>
        <w:spacing w:after="80"/>
      </w:pPr>
      <w:r>
        <w:rPr>
          <w:sz w:val="22"/>
          <w:szCs w:val="22"/>
        </w:rPr>
        <w:t xml:space="preserve">A 30-day rolling average and standard deviation of demand are used to compute ReorderPoint and SafetyStock — so as demand rises into the summer peak, the reorder point automatically rises with it.</w:t>
      </w:r>
    </w:p>
    <w:p>
      <w:pPr>
        <w:pStyle w:val="ListParagraph"/>
        <w:numPr>
          <w:ilvl w:val="0"/>
          <w:numId w:val="2"/>
        </w:numPr>
        <w:spacing w:after="80"/>
      </w:pPr>
      <w:r>
        <w:rPr>
          <w:sz w:val="22"/>
          <w:szCs w:val="22"/>
        </w:rPr>
        <w:t xml:space="preserve">When StockOnHand falls to or below ReorderPoint, a new order is placed, sized using an Economic Order Quantity (EOQ) formula that itself depends on the rolling estimate of annual demand.</w:t>
      </w:r>
    </w:p>
    <w:p>
      <w:pPr>
        <w:pStyle w:val="ListParagraph"/>
        <w:numPr>
          <w:ilvl w:val="0"/>
          <w:numId w:val="2"/>
        </w:numPr>
        <w:spacing w:after="80"/>
      </w:pPr>
      <w:r>
        <w:rPr>
          <w:sz w:val="22"/>
          <w:szCs w:val="22"/>
        </w:rPr>
        <w:t xml:space="preserve">The order arrives after SupplierLeadTimeDays — a variable lead time that includes five deliberate supply-disruption windows, simulating real procurement risk.</w:t>
      </w:r>
    </w:p>
    <w:p>
      <w:pPr>
        <w:pStyle w:val="ListParagraph"/>
        <w:numPr>
          <w:ilvl w:val="0"/>
          <w:numId w:val="2"/>
        </w:numPr>
        <w:spacing w:after="80"/>
      </w:pPr>
      <w:r>
        <w:rPr>
          <w:sz w:val="22"/>
          <w:szCs w:val="22"/>
        </w:rPr>
        <w:t xml:space="preserve">If stock hits zero before the order arrives, StockoutFlag fires and UnitsShort records the lost sales.</w:t>
      </w:r>
    </w:p>
    <w:p>
      <w:pPr>
        <w:spacing w:after="160"/>
      </w:pPr>
      <w:r>
        <w:rPr>
          <w:b w:val="false"/>
          <w:bCs w:val="false"/>
          <w:i w:val="false"/>
          <w:iCs w:val="false"/>
          <w:sz w:val="22"/>
          <w:szCs w:val="22"/>
        </w:rPr>
        <w:t xml:space="preserve">The practical result: 16 stockout days across the two years, almost all of them traceable to a specific lead-time disruption event. For example, a 15-day lead time spike in July 2023 (versus the normal ~5 days) directly produced a stockout with 154 units of lost sales — a clean cause-and-effect story for the team to surface in EDA.</w:t>
      </w:r>
    </w:p>
    <w:p>
      <w:pPr>
        <w:pStyle w:val="Heading2"/>
      </w:pPr>
      <w:r>
        <w:t xml:space="preserve">2.3  Sales -&gt; Workforce: how the link works</w:t>
      </w:r>
    </w:p>
    <w:p>
      <w:pPr>
        <w:spacing w:after="160"/>
      </w:pPr>
      <w:r>
        <w:rPr>
          <w:b w:val="false"/>
          <w:bCs w:val="false"/>
          <w:i w:val="false"/>
          <w:iCs w:val="false"/>
          <w:sz w:val="22"/>
          <w:szCs w:val="22"/>
        </w:rPr>
        <w:t xml:space="preserve">The Workforce dataset mirrors the same architecture, but translates demand into labor requirements instead of stock requirements:</w:t>
      </w:r>
    </w:p>
    <w:p>
      <w:pPr>
        <w:pStyle w:val="ListParagraph"/>
        <w:numPr>
          <w:ilvl w:val="0"/>
          <w:numId w:val="2"/>
        </w:numPr>
        <w:spacing w:after="80"/>
      </w:pPr>
      <w:r>
        <w:rPr>
          <w:sz w:val="22"/>
          <w:szCs w:val="22"/>
        </w:rPr>
        <w:t xml:space="preserve">UnitsSold is converted into RequiredHeadcount using a fixed throughput constant (25 units per worker per 8-hour shift), smoothed with a forward-looking 7-day average so staffing plans react to a trend rather than single-day noise.</w:t>
      </w:r>
    </w:p>
    <w:p>
      <w:pPr>
        <w:pStyle w:val="ListParagraph"/>
        <w:numPr>
          <w:ilvl w:val="0"/>
          <w:numId w:val="2"/>
        </w:numPr>
        <w:spacing w:after="80"/>
      </w:pPr>
      <w:r>
        <w:rPr>
          <w:sz w:val="22"/>
          <w:szCs w:val="22"/>
        </w:rPr>
        <w:t xml:space="preserve">StaffedHeadcount only changes through a hiring simulation that reviews the gap every 14 days and takes 10 more days for a new hire to onboard — a deliberate lag, conceptually identical to SupplierLeadTimeDays in the Inventory dataset.</w:t>
      </w:r>
    </w:p>
    <w:p>
      <w:pPr>
        <w:pStyle w:val="ListParagraph"/>
        <w:numPr>
          <w:ilvl w:val="0"/>
          <w:numId w:val="2"/>
        </w:numPr>
        <w:spacing w:after="80"/>
      </w:pPr>
      <w:r>
        <w:rPr>
          <w:sz w:val="22"/>
          <w:szCs w:val="22"/>
        </w:rPr>
        <w:t xml:space="preserve">Voluntary attrition events randomly remove staff, visible to the next hiring review, the same way a stockout is visible to the next reorder decision.</w:t>
      </w:r>
    </w:p>
    <w:p>
      <w:pPr>
        <w:pStyle w:val="ListParagraph"/>
        <w:numPr>
          <w:ilvl w:val="0"/>
          <w:numId w:val="2"/>
        </w:numPr>
        <w:spacing w:after="80"/>
      </w:pPr>
      <w:r>
        <w:rPr>
          <w:sz w:val="22"/>
          <w:szCs w:val="22"/>
        </w:rPr>
        <w:t xml:space="preserve">When StaffedHeadcount falls short of RequiredHeadcount, the gap is first absorbed by OvertimeHoursPerWorker (capped at 4 hours/day). Any shortfall beyond that becomes BacklogUnits — the direct labor equivalent of a stockout.</w:t>
      </w:r>
    </w:p>
    <w:p>
      <w:pPr>
        <w:spacing w:after="160"/>
      </w:pPr>
      <w:r>
        <w:rPr>
          <w:b w:val="false"/>
          <w:bCs w:val="false"/>
          <w:i w:val="false"/>
          <w:iCs w:val="false"/>
          <w:sz w:val="22"/>
          <w:szCs w:val="22"/>
        </w:rPr>
        <w:t xml:space="preserve">The result: 47 backlog days, concentrated in two explainable windows — April-May (ramping into the summer demand peak before hiring catches up) and February (just before a hiring wave lands). One of the three viral demand spikes injected into the Sales dataset (February 28, 2024) directly produced a backlog day here, the same way it could be cross-checked against the Inventory dataset for the same date.</w:t>
      </w:r>
    </w:p>
    <w:p>
      <w:pPr>
        <w:pStyle w:val="Heading2"/>
      </w:pPr>
      <w:r>
        <w:t xml:space="preserve">2.4  Why Inventory and Workforce don't talk to each other directly</w:t>
      </w:r>
    </w:p>
    <w:p>
      <w:pPr>
        <w:spacing w:after="160"/>
      </w:pPr>
      <w:r>
        <w:rPr>
          <w:b w:val="false"/>
          <w:bCs w:val="false"/>
          <w:i w:val="false"/>
          <w:iCs w:val="false"/>
          <w:sz w:val="22"/>
          <w:szCs w:val="22"/>
        </w:rPr>
        <w:t xml:space="preserve">This is a deliberate design choice, not an oversight. In the real system this project models, a warehouse running low on stock and a warehouse running low on staff are two independent operational risks that both originate from the same root cause (demand), but don't mechanically cause each other. Keeping the two downstream datasets independent — both reading from Sales, neither reading from the other — mirrors how a real demand-driven planning platform is architected, and keeps each module's logic clean enough for one student to own end-to-end.</w:t>
      </w:r>
    </w:p>
    <w:p>
      <w:pPr>
        <w:pStyle w:val="Heading2"/>
      </w:pPr>
      <w:r>
        <w:t xml:space="preserve">2.5  Where the three datasets converge: the dashboard</w:t>
      </w:r>
    </w:p>
    <w:p>
      <w:pPr>
        <w:spacing w:after="160"/>
      </w:pPr>
      <w:r>
        <w:rPr>
          <w:b w:val="false"/>
          <w:bCs w:val="false"/>
          <w:i w:val="false"/>
          <w:iCs w:val="false"/>
          <w:sz w:val="22"/>
          <w:szCs w:val="22"/>
        </w:rPr>
        <w:t xml:space="preserve">The Planning Dashboard described in the original project charter is where all three datasets are intended to come together for the end user. A realistic dashboard narrative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5F" w:sz="4"/>
              <w:left w:val="single" w:color="1F4E5F" w:sz="4"/>
              <w:bottom w:val="single" w:color="1F4E5F" w:sz="4"/>
              <w:right w:val="single" w:color="1F4E5F" w:sz="4"/>
            </w:tcBorders>
            <w:shd w:fill="EAF3F6" w:val="clear"/>
            <w:tcMar>
              <w:top w:type="dxa" w:w="140"/>
              <w:left w:type="dxa" w:w="180"/>
              <w:bottom w:type="dxa" w:w="140"/>
              <w:right w:type="dxa" w:w="180"/>
            </w:tcMar>
          </w:tcPr>
          <w:p>
            <w:pPr>
              <w:spacing w:after="80"/>
            </w:pPr>
            <w:r>
              <w:rPr>
                <w:b/>
                <w:bCs/>
                <w:color w:val="1F4E5F"/>
                <w:sz w:val="22"/>
                <w:szCs w:val="22"/>
              </w:rPr>
              <w:t xml:space="preserve">Example end-to-end story the dashboard should be able to tell</w:t>
            </w:r>
          </w:p>
          <w:p>
            <w:r>
              <w:rPr>
                <w:sz w:val="21"/>
                <w:szCs w:val="21"/>
              </w:rPr>
              <w:t xml:space="preserve">"Demand forecast shows a 34% increase over the next 3 weeks heading into the summer peak. At the current reorder point, inventory will trigger a restock in 4 days — but with average lead times running near 7 days this season, there's a risk window. Required headcount is projected to rise from 9 to 12 over the same period; current hiring already has 2 new staff onboarding, landing just before the peak."</w:t>
            </w:r>
          </w:p>
        </w:tc>
      </w:tr>
    </w:tbl>
    <w:p>
      <w:pPr>
        <w:spacing w:after="160"/>
      </w:pPr>
      <w:r>
        <w:rPr>
          <w:b w:val="false"/>
          <w:bCs w:val="false"/>
          <w:i w:val="false"/>
          <w:iCs w:val="false"/>
          <w:sz w:val="22"/>
          <w:szCs w:val="22"/>
        </w:rPr>
        <w:t xml:space="preserve">Practically, this means the dashboard's recommendation engine should pull the demand forecast once, then run it through two parallel branches — one producing inventory recommendations (reorder timing, quantity, stockout risk), the other producing workforce recommendations (hiring timing, overtime needs, backlog risk) — and present both side-by-side, anchored to the same forecasted demand curve.</w:t>
      </w:r>
    </w:p>
    <w:p>
      <w:pPr>
        <w:pStyle w:val="Heading2"/>
      </w:pPr>
      <w:r>
        <w:t xml:space="preserve">2.6  Quick reference: shared vs. module-specific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Field(s)</w:t>
            </w:r>
          </w:p>
        </w:tc>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Appears In</w:t>
            </w:r>
          </w:p>
        </w:tc>
        <w:tc>
          <w:tcPr>
            <w:tcW w:type="dxa" w:w="4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bCs/>
                <w:sz w:val="19"/>
                <w:szCs w:val="19"/>
              </w:rPr>
              <w:t xml:space="preserve">Date</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All three</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Universal join key</w:t>
            </w:r>
          </w:p>
        </w:tc>
      </w:tr>
      <w:tr>
        <w:tc>
          <w:tcPr>
            <w:tcW w:type="dxa" w:w="30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bCs/>
                <w:sz w:val="19"/>
                <w:szCs w:val="19"/>
              </w:rPr>
              <w:t xml:space="preserve">Product</w:t>
            </w:r>
          </w:p>
        </w:tc>
        <w:tc>
          <w:tcPr>
            <w:tcW w:type="dxa" w:w="22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All three</w:t>
            </w:r>
          </w:p>
        </w:tc>
        <w:tc>
          <w:tcPr>
            <w:tcW w:type="dxa" w:w="41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Constant value, single-product simplification</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bCs/>
                <w:sz w:val="19"/>
                <w:szCs w:val="19"/>
              </w:rPr>
              <w:t xml:space="preserve">UnitsSold</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All three</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Originates in Sales; carried into Inventory and Workforce as the driving input</w:t>
            </w:r>
          </w:p>
        </w:tc>
      </w:tr>
      <w:tr>
        <w:tc>
          <w:tcPr>
            <w:tcW w:type="dxa" w:w="30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bCs/>
                <w:sz w:val="19"/>
                <w:szCs w:val="19"/>
              </w:rPr>
              <w:t xml:space="preserve">IsPromo / IsHoliday</w:t>
            </w:r>
          </w:p>
        </w:tc>
        <w:tc>
          <w:tcPr>
            <w:tcW w:type="dxa" w:w="22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Sales only</w:t>
            </w:r>
          </w:p>
        </w:tc>
        <w:tc>
          <w:tcPr>
            <w:tcW w:type="dxa" w:w="41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Demand-side context, useful for explaining WHY demand moved</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Consolas" w:cs="Consolas" w:eastAsia="Consolas" w:hAnsi="Consolas"/>
                <w:b/>
                <w:bCs/>
                <w:sz w:val="19"/>
                <w:szCs w:val="19"/>
              </w:rPr>
              <w:t xml:space="preserve">ReorderPoint / SafetyStock / StockoutFlag</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Inventory only</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b w:val="false"/>
                <w:bCs w:val="false"/>
                <w:sz w:val="19"/>
                <w:szCs w:val="19"/>
              </w:rPr>
              <w:t xml:space="preserve">Supply-chain response to demand</w:t>
            </w:r>
          </w:p>
        </w:tc>
      </w:tr>
      <w:tr>
        <w:tc>
          <w:tcPr>
            <w:tcW w:type="dxa" w:w="30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Consolas" w:cs="Consolas" w:eastAsia="Consolas" w:hAnsi="Consolas"/>
                <w:b/>
                <w:bCs/>
                <w:sz w:val="19"/>
                <w:szCs w:val="19"/>
              </w:rPr>
              <w:t xml:space="preserve">RequiredHeadcount / BacklogFlag / OvertimeHoursPerWorker</w:t>
            </w:r>
          </w:p>
        </w:tc>
        <w:tc>
          <w:tcPr>
            <w:tcW w:type="dxa" w:w="220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Workforce only</w:t>
            </w:r>
          </w:p>
        </w:tc>
        <w:tc>
          <w:tcPr>
            <w:tcW w:type="dxa" w:w="4160"/>
            <w:tcBorders>
              <w:top w:val="single" w:color="CCCCCC" w:sz="1"/>
              <w:left w:val="single" w:color="CCCCCC" w:sz="1"/>
              <w:bottom w:val="single" w:color="CCCCCC" w:sz="1"/>
              <w:right w:val="single" w:color="CCCCCC" w:sz="1"/>
            </w:tcBorders>
            <w:shd w:fill="F2F7F9" w:val="clear"/>
            <w:tcMar>
              <w:top w:type="dxa" w:w="70"/>
              <w:left w:type="dxa" w:w="120"/>
              <w:bottom w:type="dxa" w:w="70"/>
              <w:right w:type="dxa" w:w="120"/>
            </w:tcMar>
            <w:vAlign w:val="center"/>
          </w:tcPr>
          <w:p>
            <w:r>
              <w:rPr>
                <w:rFonts w:ascii="Arial" w:cs="Arial" w:eastAsia="Arial" w:hAnsi="Arial"/>
                <w:b w:val="false"/>
                <w:bCs w:val="false"/>
                <w:sz w:val="19"/>
                <w:szCs w:val="19"/>
              </w:rPr>
              <w:t xml:space="preserve">Labor response to demand</w:t>
            </w:r>
          </w:p>
        </w:tc>
      </w:tr>
    </w:tbl>
    <w:p>
      <w:pPr>
        <w:spacing w:before="300"/>
      </w:pPr>
    </w:p>
    <w:p>
      <w:pPr>
        <w:pStyle w:val="Heading2"/>
      </w:pPr>
      <w:r>
        <w:t xml:space="preserve">2.7  Suggested team ownership split</w:t>
      </w:r>
    </w:p>
    <w:p>
      <w:pPr>
        <w:spacing w:after="160"/>
      </w:pPr>
      <w:r>
        <w:rPr>
          <w:b w:val="false"/>
          <w:bCs w:val="false"/>
          <w:i w:val="false"/>
          <w:iCs w:val="false"/>
          <w:sz w:val="22"/>
          <w:szCs w:val="22"/>
        </w:rPr>
        <w:t xml:space="preserve">Given the architecture above, the project divides cleanly along the same lines the datasets are built on:</w:t>
      </w:r>
    </w:p>
    <w:p>
      <w:pPr>
        <w:pStyle w:val="ListParagraph"/>
        <w:numPr>
          <w:ilvl w:val="0"/>
          <w:numId w:val="3"/>
        </w:numPr>
        <w:spacing w:after="80"/>
      </w:pPr>
      <w:r>
        <w:rPr>
          <w:sz w:val="22"/>
          <w:szCs w:val="22"/>
        </w:rPr>
        <w:t xml:space="preserve">Student A — owns the Sales/Demand Forecasting module and the Inventory Planning module (the supply-chain branch).</w:t>
      </w:r>
    </w:p>
    <w:p>
      <w:pPr>
        <w:pStyle w:val="ListParagraph"/>
        <w:numPr>
          <w:ilvl w:val="0"/>
          <w:numId w:val="3"/>
        </w:numPr>
        <w:spacing w:after="80"/>
      </w:pPr>
      <w:r>
        <w:rPr>
          <w:sz w:val="22"/>
          <w:szCs w:val="22"/>
        </w:rPr>
        <w:t xml:space="preserve">Student B — owns the Workforce Planning module and the integrated Dashboard that brings all three datasets together (the labor branch plus final presentation layer).</w:t>
      </w:r>
    </w:p>
    <w:p>
      <w:pPr>
        <w:spacing w:after="160"/>
      </w:pPr>
      <w:r>
        <w:rPr>
          <w:b w:val="false"/>
          <w:bCs w:val="false"/>
          <w:i w:val="false"/>
          <w:iCs w:val="false"/>
          <w:sz w:val="22"/>
          <w:szCs w:val="22"/>
        </w:rPr>
        <w:t xml:space="preserve">Both students will need to understand all three datasets to build the final integrated recommendation engine, but this split lets each person go deep on one branch first before converging on the shared dashboard in the final two weeks.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Predictive Inventory &amp; Workforce Planning System — Data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6E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2026-06-24T05:41:46.834Z</dcterms:created>
  <dcterms:modified xsi:type="dcterms:W3CDTF">2026-06-24T05:41:46.835Z</dcterms:modified>
</cp:coreProperties>
</file>

<file path=docProps/custom.xml><?xml version="1.0" encoding="utf-8"?>
<Properties xmlns="http://schemas.openxmlformats.org/officeDocument/2006/custom-properties" xmlns:vt="http://schemas.openxmlformats.org/officeDocument/2006/docPropsVTypes"/>
</file>