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8"/>
          <w:szCs w:val="28"/>
        </w:rPr>
      </w:pPr>
      <w:bookmarkStart w:colFirst="0" w:colLast="0" w:name="_pip2l9lmhyi0" w:id="0"/>
      <w:bookmarkEnd w:id="0"/>
      <w:r w:rsidDel="00000000" w:rsidR="00000000" w:rsidRPr="00000000">
        <w:rPr>
          <w:rFonts w:ascii="Times New Roman" w:cs="Times New Roman" w:eastAsia="Times New Roman" w:hAnsi="Times New Roman"/>
          <w:rtl w:val="0"/>
        </w:rPr>
        <w:t xml:space="preserve">Вариативная самостоятельная работа 4</w:t>
      </w:r>
      <w:r w:rsidDel="00000000" w:rsidR="00000000" w:rsidRPr="00000000">
        <w:rPr>
          <w:rtl w:val="0"/>
        </w:rPr>
      </w:r>
    </w:p>
    <w:p w:rsidR="00000000" w:rsidDel="00000000" w:rsidP="00000000" w:rsidRDefault="00000000" w:rsidRPr="00000000" w14:paraId="00000002">
      <w:pPr>
        <w:pStyle w:val="Heading3"/>
        <w:jc w:val="center"/>
        <w:rPr>
          <w:rFonts w:ascii="Times New Roman" w:cs="Times New Roman" w:eastAsia="Times New Roman" w:hAnsi="Times New Roman"/>
          <w:color w:val="000000"/>
        </w:rPr>
      </w:pPr>
      <w:bookmarkStart w:colFirst="0" w:colLast="0" w:name="_1x7rx1db4xlh" w:id="1"/>
      <w:bookmarkEnd w:id="1"/>
      <w:r w:rsidDel="00000000" w:rsidR="00000000" w:rsidRPr="00000000">
        <w:rPr>
          <w:rFonts w:ascii="Times New Roman" w:cs="Times New Roman" w:eastAsia="Times New Roman" w:hAnsi="Times New Roman"/>
          <w:color w:val="000000"/>
          <w:rtl w:val="0"/>
        </w:rPr>
        <w:t xml:space="preserve">Задание 4.1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Создание таблицы со сравнительным анализом библиотек для тестирования. Формирование отчета по выполнению задания и размещение его в портфолио, персональном репозитории.</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tbl>
      <w:tblPr>
        <w:tblStyle w:val="Table1"/>
        <w:tblW w:w="1000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125"/>
        <w:gridCol w:w="4200"/>
        <w:tblGridChange w:id="0">
          <w:tblGrid>
            <w:gridCol w:w="1680"/>
            <w:gridCol w:w="412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очень прост и его легко использовать.</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много возможностей: проверки (assert*), декораторы, позволяющие пропустить отдельный тест (@skip, @skipIf) или обозначить сломанные тесты (@expectedFailure), при написании тестов легко прослеживается ООП стиль, что весьма удобно для тестирования процедур и классов.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 написания большого количества кода, стиль больше похож на “Java”, и потому становится менее читабельным.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Девизом nose является фраза “nose extends unittest to make testing easier”, что можно перевести как “nose расширяет unittest, делая тестирование проще”. nose идеален, когда нужно сделать тесты “по-быстрому”, без предварительного планирования и выстраивания архитектуры приложения с тестами. Функционал nose можно расширять и настраивать с помощью плагинов.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представляет собой расширение над стандартными unittest, то перенимает часть его минусов.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Независимость от API (no boilerplate). Подробный отчет. В том числе выгрузка в JUnitXML (для интеграции с Jenkins). Удобный assert (стандартный из Python). Параметризация тестов. Метки (marks), позволяющие пропустить любой тест, пометить тест, как падающий.Плагины. Данный модуль имеет достаточно большой список дополнительных модулей, которые можно установить отдельно. Возможность запуска тестов написанных на unittest и nose, то есть полная обратная совместимость с ними.</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возможности фикстур (возвращаемое значение, финализаторы, область видимости, объект request, автоиспользование, вложенные фикстуры)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Отсутствие дополнительного уровня вложенности: Для модулей, классов, методов, функций в тестах есть соответствующий уровень.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написания, можно скопировать прямо из интерактивной сессии питона; документация всегда соответствует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Сложный код быстро становится нечитаемым; текстовый редактор не подсветит такой код, а статический анализатор не найдет в нем ошибок).</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