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78A65B" w14:textId="77777777" w:rsidR="00E06B09" w:rsidRPr="00E06B09" w:rsidRDefault="00E06B09" w:rsidP="00E06B09">
      <w:pPr>
        <w:autoSpaceDE w:val="0"/>
        <w:autoSpaceDN w:val="0"/>
        <w:adjustRightInd w:val="0"/>
        <w:spacing w:after="0" w:line="480" w:lineRule="auto"/>
        <w:rPr>
          <w:rFonts w:ascii="Arial" w:hAnsi="Arial" w:cs="Arial"/>
          <w:color w:val="000000"/>
          <w:sz w:val="24"/>
          <w:szCs w:val="24"/>
        </w:rPr>
      </w:pPr>
      <w:r w:rsidRPr="00E06B09">
        <w:rPr>
          <w:rFonts w:ascii="Arial" w:hAnsi="Arial" w:cs="Arial"/>
          <w:color w:val="000000"/>
          <w:sz w:val="24"/>
          <w:szCs w:val="24"/>
        </w:rPr>
        <w:t>How to improve crowdfunding success: An investigation into choice overload and prosocial framing. </w:t>
      </w:r>
    </w:p>
    <w:p w14:paraId="45929D31" w14:textId="77777777" w:rsidR="00E06B09" w:rsidRPr="00E06B09" w:rsidRDefault="00E06B09" w:rsidP="00E06B09">
      <w:pPr>
        <w:autoSpaceDE w:val="0"/>
        <w:autoSpaceDN w:val="0"/>
        <w:adjustRightInd w:val="0"/>
        <w:spacing w:after="0" w:line="480" w:lineRule="auto"/>
        <w:rPr>
          <w:rFonts w:ascii="Arial" w:hAnsi="Arial" w:cs="Arial"/>
          <w:color w:val="000000"/>
          <w:sz w:val="24"/>
          <w:szCs w:val="24"/>
        </w:rPr>
      </w:pPr>
    </w:p>
    <w:p w14:paraId="24A53A1E" w14:textId="77777777" w:rsidR="00E06B09" w:rsidRPr="00E06B09" w:rsidRDefault="00E06B09" w:rsidP="00E06B09">
      <w:pPr>
        <w:autoSpaceDE w:val="0"/>
        <w:autoSpaceDN w:val="0"/>
        <w:adjustRightInd w:val="0"/>
        <w:spacing w:after="0" w:line="480" w:lineRule="auto"/>
        <w:rPr>
          <w:rFonts w:ascii="Arial" w:hAnsi="Arial" w:cs="Arial"/>
          <w:b/>
          <w:bCs/>
          <w:color w:val="000000"/>
        </w:rPr>
      </w:pPr>
      <w:r w:rsidRPr="00E06B09">
        <w:rPr>
          <w:rFonts w:ascii="Arial" w:hAnsi="Arial" w:cs="Arial"/>
          <w:b/>
          <w:bCs/>
          <w:color w:val="000000"/>
        </w:rPr>
        <w:t>Intro</w:t>
      </w:r>
    </w:p>
    <w:p w14:paraId="71B35827" w14:textId="0B533669"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 xml:space="preserve">Crowdfunding is an alternative to entrepreneurial financing that has seen impressive growth recently (Shneor &amp; Torjesen, 2020). It enables fundraisers who cannot use traditional fundraisings, such as banks (Li &amp; Martin, 2019), to obtain small amounts of funding from many backers (Belleflamme et al., 2014). Kickstarter, the largest crowdfunding platform, supports reward-based and donation-based crowdfunding (Du &amp; Wang, 2017). This essay will focus on reward-based crowdfunding, when backers exchange monetary contributions for non-monetary rewards, as it is the most prevalent type (Bi et al., 2017; Burtch et al., 2014). On Kickstarter, 3.9% of campaigns succeed and reach their funding goals (Kickstarter, 2022); therefore, campaigns should be carefully designed to motivate backers. Reward hunting is the most recognised motivation for backers (Thürridl &amp; Kamleitner, 2016), so founders must design their reward tiers (what rewards backers receive </w:t>
      </w:r>
      <w:r w:rsidR="00F51490">
        <w:rPr>
          <w:rFonts w:ascii="Arial" w:hAnsi="Arial" w:cs="Arial"/>
          <w:color w:val="000000"/>
        </w:rPr>
        <w:t>in return for</w:t>
      </w:r>
      <w:r w:rsidRPr="00E06B09">
        <w:rPr>
          <w:rFonts w:ascii="Arial" w:hAnsi="Arial" w:cs="Arial"/>
          <w:color w:val="000000"/>
        </w:rPr>
        <w:t xml:space="preserve"> pledges) to accumulate support. Researchers have considered whether the choice overload phenomenon (Iyengar &amp; Lepper, 2000) is relevant when presenting rewards; however, there are conflicting results regarding whether too many options are detrimental to backers' decision-making (Kunz et al., 2016; Chen et al., 2016). Similarly, prosocial framing is when campaigns emphasise how they benefit others </w:t>
      </w:r>
      <w:r w:rsidR="00E80DF9">
        <w:rPr>
          <w:rFonts w:ascii="Arial" w:hAnsi="Arial" w:cs="Arial"/>
          <w:color w:val="000000"/>
        </w:rPr>
        <w:t xml:space="preserve">and society </w:t>
      </w:r>
      <w:r w:rsidRPr="00E06B09">
        <w:rPr>
          <w:rFonts w:ascii="Arial" w:hAnsi="Arial" w:cs="Arial"/>
          <w:color w:val="000000"/>
        </w:rPr>
        <w:t xml:space="preserve">to </w:t>
      </w:r>
      <w:r w:rsidR="00E80DF9">
        <w:rPr>
          <w:rFonts w:ascii="Arial" w:hAnsi="Arial" w:cs="Arial"/>
          <w:color w:val="000000"/>
        </w:rPr>
        <w:t>gain</w:t>
      </w:r>
      <w:r w:rsidRPr="00E06B09">
        <w:rPr>
          <w:rFonts w:ascii="Arial" w:hAnsi="Arial" w:cs="Arial"/>
          <w:color w:val="000000"/>
        </w:rPr>
        <w:t xml:space="preserve"> backers' </w:t>
      </w:r>
      <w:r w:rsidR="00E80DF9">
        <w:rPr>
          <w:rFonts w:ascii="Arial" w:hAnsi="Arial" w:cs="Arial"/>
          <w:color w:val="000000"/>
        </w:rPr>
        <w:t xml:space="preserve">support </w:t>
      </w:r>
      <w:r w:rsidRPr="00E06B09">
        <w:rPr>
          <w:rFonts w:ascii="Arial" w:hAnsi="Arial" w:cs="Arial"/>
          <w:color w:val="000000"/>
        </w:rPr>
        <w:t xml:space="preserve">(Penz et al., 2022); however, research has found </w:t>
      </w:r>
      <w:r w:rsidR="00E80DF9">
        <w:rPr>
          <w:rFonts w:ascii="Arial" w:hAnsi="Arial" w:cs="Arial"/>
          <w:color w:val="000000"/>
        </w:rPr>
        <w:t>both positive and negative impact on</w:t>
      </w:r>
      <w:r w:rsidRPr="00E06B09">
        <w:rPr>
          <w:rFonts w:ascii="Arial" w:hAnsi="Arial" w:cs="Arial"/>
          <w:color w:val="000000"/>
        </w:rPr>
        <w:t xml:space="preserve"> crowdfunding success. Understanding what factors influence backers' motivations is essential to improving campaign success (Du &amp; Wang, 2017). To that end, this essay evaluates the literature on the effect of choice overload and prosocial framing on crowdfunding, </w:t>
      </w:r>
      <w:r w:rsidR="00434B91">
        <w:rPr>
          <w:rFonts w:ascii="Arial" w:hAnsi="Arial" w:cs="Arial"/>
          <w:color w:val="000000"/>
        </w:rPr>
        <w:t xml:space="preserve">considering their implications and limitations </w:t>
      </w:r>
      <w:r w:rsidR="00E80DF9">
        <w:rPr>
          <w:rFonts w:ascii="Arial" w:hAnsi="Arial" w:cs="Arial"/>
          <w:color w:val="000000"/>
        </w:rPr>
        <w:t xml:space="preserve">and finally </w:t>
      </w:r>
      <w:r w:rsidR="00434B91">
        <w:rPr>
          <w:rFonts w:ascii="Arial" w:hAnsi="Arial" w:cs="Arial"/>
          <w:color w:val="000000"/>
        </w:rPr>
        <w:t>c</w:t>
      </w:r>
      <w:r w:rsidR="00DC15C3">
        <w:rPr>
          <w:rFonts w:ascii="Arial" w:hAnsi="Arial" w:cs="Arial"/>
          <w:color w:val="000000"/>
        </w:rPr>
        <w:t>onclud</w:t>
      </w:r>
      <w:r w:rsidR="00E80DF9">
        <w:rPr>
          <w:rFonts w:ascii="Arial" w:hAnsi="Arial" w:cs="Arial"/>
          <w:color w:val="000000"/>
        </w:rPr>
        <w:t>ing</w:t>
      </w:r>
      <w:r w:rsidR="00434B91">
        <w:rPr>
          <w:rFonts w:ascii="Arial" w:hAnsi="Arial" w:cs="Arial"/>
          <w:color w:val="000000"/>
        </w:rPr>
        <w:t xml:space="preserve"> that </w:t>
      </w:r>
      <w:r w:rsidR="00DC15C3">
        <w:rPr>
          <w:rFonts w:ascii="Arial" w:hAnsi="Arial" w:cs="Arial"/>
          <w:color w:val="000000"/>
        </w:rPr>
        <w:t>more options and moderate prosocial framing are optimal for success</w:t>
      </w:r>
      <w:r w:rsidRPr="00E06B09">
        <w:rPr>
          <w:rFonts w:ascii="Arial" w:hAnsi="Arial" w:cs="Arial"/>
          <w:color w:val="000000"/>
        </w:rPr>
        <w:t>.</w:t>
      </w:r>
    </w:p>
    <w:p w14:paraId="0849C669"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114D4F89" w14:textId="77777777" w:rsidR="00E06B09" w:rsidRPr="00E06B09" w:rsidRDefault="00E06B09" w:rsidP="00E06B09">
      <w:pPr>
        <w:autoSpaceDE w:val="0"/>
        <w:autoSpaceDN w:val="0"/>
        <w:adjustRightInd w:val="0"/>
        <w:spacing w:after="0" w:line="480" w:lineRule="auto"/>
        <w:rPr>
          <w:rFonts w:ascii="Arial" w:hAnsi="Arial" w:cs="Arial"/>
          <w:color w:val="000000"/>
        </w:rPr>
      </w:pPr>
      <w:r w:rsidRPr="00E06B09">
        <w:rPr>
          <w:rFonts w:ascii="Arial" w:hAnsi="Arial" w:cs="Arial"/>
          <w:b/>
          <w:bCs/>
          <w:color w:val="000000"/>
        </w:rPr>
        <w:lastRenderedPageBreak/>
        <w:t>Choice overload:</w:t>
      </w:r>
    </w:p>
    <w:p w14:paraId="5DF106BF"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029CAE46" w14:textId="3E7D71AE"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 xml:space="preserve">Choice overload has been heavily debated. Initially, the traditional economic theory suggested that </w:t>
      </w:r>
      <w:r w:rsidR="00E80DF9">
        <w:rPr>
          <w:rFonts w:ascii="Arial" w:hAnsi="Arial" w:cs="Arial"/>
          <w:color w:val="000000"/>
        </w:rPr>
        <w:t xml:space="preserve">presenting </w:t>
      </w:r>
      <w:r w:rsidRPr="00E06B09">
        <w:rPr>
          <w:rFonts w:ascii="Arial" w:hAnsi="Arial" w:cs="Arial"/>
          <w:color w:val="000000"/>
        </w:rPr>
        <w:t xml:space="preserve">more options </w:t>
      </w:r>
      <w:r w:rsidR="00E80DF9">
        <w:rPr>
          <w:rFonts w:ascii="Arial" w:hAnsi="Arial" w:cs="Arial"/>
          <w:color w:val="000000"/>
        </w:rPr>
        <w:t>is</w:t>
      </w:r>
      <w:r w:rsidRPr="00E06B09">
        <w:rPr>
          <w:rFonts w:ascii="Arial" w:hAnsi="Arial" w:cs="Arial"/>
          <w:color w:val="000000"/>
        </w:rPr>
        <w:t xml:space="preserve"> more efficient as it helps consumers reach their purchasing goals (Messinger &amp; Narasimhan, 1997). However, the choice overload phenomenon suggests that as consumers face greater options, they experience regret, choice deferral and reduced satisfaction (Chernev et al., 2015). Research into this phenomenon has investigated industries where choice overload is relevant, such as marketing. This may be </w:t>
      </w:r>
      <w:r w:rsidR="00E80DF9" w:rsidRPr="00E06B09">
        <w:rPr>
          <w:rFonts w:ascii="Arial" w:hAnsi="Arial" w:cs="Arial"/>
          <w:color w:val="000000"/>
        </w:rPr>
        <w:t>pertinent</w:t>
      </w:r>
      <w:r w:rsidRPr="00E06B09">
        <w:rPr>
          <w:rFonts w:ascii="Arial" w:hAnsi="Arial" w:cs="Arial"/>
          <w:color w:val="000000"/>
        </w:rPr>
        <w:t xml:space="preserve"> to crowdfunding as campaigners offer different rewards to their donors</w:t>
      </w:r>
      <w:r w:rsidR="006075CD">
        <w:rPr>
          <w:rFonts w:ascii="Arial" w:hAnsi="Arial" w:cs="Arial"/>
          <w:color w:val="000000"/>
        </w:rPr>
        <w:t xml:space="preserve"> depending on their funding pledge.</w:t>
      </w:r>
      <w:r w:rsidRPr="00E06B09">
        <w:rPr>
          <w:rFonts w:ascii="Arial" w:hAnsi="Arial" w:cs="Arial"/>
          <w:color w:val="000000"/>
        </w:rPr>
        <w:t xml:space="preserve"> There is no limit to the number of </w:t>
      </w:r>
      <w:r w:rsidR="00E80DF9" w:rsidRPr="00E06B09">
        <w:rPr>
          <w:rFonts w:ascii="Arial" w:hAnsi="Arial" w:cs="Arial"/>
          <w:color w:val="000000"/>
        </w:rPr>
        <w:t>reward</w:t>
      </w:r>
      <w:r w:rsidR="00E80DF9">
        <w:rPr>
          <w:rFonts w:ascii="Arial" w:hAnsi="Arial" w:cs="Arial"/>
          <w:color w:val="000000"/>
        </w:rPr>
        <w:t xml:space="preserve"> </w:t>
      </w:r>
      <w:r w:rsidRPr="00E06B09">
        <w:rPr>
          <w:rFonts w:ascii="Arial" w:hAnsi="Arial" w:cs="Arial"/>
          <w:color w:val="000000"/>
        </w:rPr>
        <w:t>tiers a campaign offers, which begs the question of how many tiers are optimal to gain the highest support. </w:t>
      </w:r>
    </w:p>
    <w:p w14:paraId="4FD66196"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6E6A8D23" w14:textId="77777777"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Research into this effect has found mixed results. Xiao et al. (2014) found that the number of reward tiers in a campaign harmed crowdfunding performance; finding an additional reward tier led to an 8.31% decrease in funding pledges. They explain this through procrastination and conflict. Similarly, Chen et al. (2016) found that fewer reward tiers made donations more likely, finding an optimal of six levels. These two studies support choice overload and suggest having many options is redundant and detrimental to success. In contrast, Lin et al. (2016) found a positive relationship between the number of rewards and success. This may be because having greater choice increases the likelihood of backers finding an option that suits them (Kahn et al., 1987). </w:t>
      </w:r>
    </w:p>
    <w:p w14:paraId="08B559CD"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3042B81C" w14:textId="3810901B"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 xml:space="preserve">To overcome the mixed findings and limitations of previous research, I consider Du and Wang's (2017) meta-analysis of over 10,000 campaigns. This study improved on previous studies by using field data and lab experiments and by providing a theoretical consideration using backer's backing centroid to compare a backer's choice to all other options. Their study found that more options significantly improved crowdfunding success </w:t>
      </w:r>
      <w:r w:rsidRPr="00E06B09">
        <w:rPr>
          <w:rFonts w:ascii="Arial" w:hAnsi="Arial" w:cs="Arial"/>
          <w:color w:val="000000"/>
        </w:rPr>
        <w:lastRenderedPageBreak/>
        <w:t>and popularity of a single option. Choice overload had a marginal impact; instead, Du and Wang explained their results via the compromise effect. The compromise effect is a robust cognitive bias where people are averse to extremes (Simonson &amp; Tversky, 1992), so when an alternative becomes a middle option in a tier, its market share increases (Simonson, 1989). Therefore, increasing the number of options available to backers</w:t>
      </w:r>
      <w:r w:rsidR="000E7E86">
        <w:rPr>
          <w:rFonts w:ascii="Arial" w:hAnsi="Arial" w:cs="Arial"/>
          <w:color w:val="000000"/>
        </w:rPr>
        <w:t>,</w:t>
      </w:r>
      <w:r w:rsidRPr="00E06B09">
        <w:rPr>
          <w:rFonts w:ascii="Arial" w:hAnsi="Arial" w:cs="Arial"/>
          <w:color w:val="000000"/>
        </w:rPr>
        <w:t xml:space="preserve"> increases middle option popularity. Du and Wang (2017) explain the minimal impact of choice overload effect for two reasons. Firstly, most (97.5%) crowdfunding campaigns do not have more than nine reward tiers; within this small range, choice overload is unlikely to occur (Chernev et al., 2015). Choice ordering can also mitigate choice overload (Song et al., 2019). On most crowdfunding platforms, reward tiers are organised in ascending order; therefore, choice overload will have minimal effect. </w:t>
      </w:r>
    </w:p>
    <w:p w14:paraId="0A9DCB37"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6289A391" w14:textId="7A043268"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This meta-analysis draws together the inconsistent research, finding that prior studies had methodological inconsistencies</w:t>
      </w:r>
      <w:r w:rsidR="000E7E86">
        <w:rPr>
          <w:rFonts w:ascii="Arial" w:hAnsi="Arial" w:cs="Arial"/>
          <w:color w:val="000000"/>
        </w:rPr>
        <w:t xml:space="preserve"> that may have led to differing results</w:t>
      </w:r>
      <w:r w:rsidRPr="00E06B09">
        <w:rPr>
          <w:rFonts w:ascii="Arial" w:hAnsi="Arial" w:cs="Arial"/>
          <w:color w:val="000000"/>
        </w:rPr>
        <w:t xml:space="preserve">. For example, Chen's (2016) study substantiating choice overload used campaigns with a mean of 11 reward tiers. In contrast, research contradicting the phenomenon used campaigns with a mean of 5 reward tiers (Du &amp; Wang, 2017). To conclude this section, choice overload is not prevalent on crowdfunding sites such as Kickstarter, where people generally only present up to nine reward options and where options are ordered automatically. In actuality, having more choices is beneficial. Therefore, founders should add reward options to motivate backers. </w:t>
      </w:r>
      <w:r w:rsidR="000E7E86">
        <w:rPr>
          <w:rFonts w:ascii="Arial" w:hAnsi="Arial" w:cs="Arial"/>
          <w:color w:val="000000"/>
        </w:rPr>
        <w:t>However, a</w:t>
      </w:r>
      <w:r w:rsidRPr="00E06B09">
        <w:rPr>
          <w:rFonts w:ascii="Arial" w:hAnsi="Arial" w:cs="Arial"/>
          <w:color w:val="000000"/>
        </w:rPr>
        <w:t xml:space="preserve">s </w:t>
      </w:r>
      <w:r w:rsidR="000E7E86">
        <w:rPr>
          <w:rFonts w:ascii="Arial" w:hAnsi="Arial" w:cs="Arial"/>
          <w:color w:val="000000"/>
        </w:rPr>
        <w:t>this</w:t>
      </w:r>
      <w:r w:rsidRPr="00E06B09">
        <w:rPr>
          <w:rFonts w:ascii="Arial" w:hAnsi="Arial" w:cs="Arial"/>
          <w:color w:val="000000"/>
        </w:rPr>
        <w:t xml:space="preserve"> research has studied campaigns with up to nine reward tiers, we cannot be sure whether the effect still stands after nine options. </w:t>
      </w:r>
    </w:p>
    <w:p w14:paraId="5554E06B"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3432548B" w14:textId="77777777" w:rsidR="00E06B09" w:rsidRPr="00E06B09" w:rsidRDefault="00E06B09" w:rsidP="00E06B09">
      <w:pPr>
        <w:autoSpaceDE w:val="0"/>
        <w:autoSpaceDN w:val="0"/>
        <w:adjustRightInd w:val="0"/>
        <w:spacing w:after="0" w:line="480" w:lineRule="auto"/>
        <w:rPr>
          <w:rFonts w:ascii="Arial" w:hAnsi="Arial" w:cs="Arial"/>
          <w:color w:val="000000"/>
        </w:rPr>
      </w:pPr>
      <w:r w:rsidRPr="00E06B09">
        <w:rPr>
          <w:rFonts w:ascii="Arial" w:hAnsi="Arial" w:cs="Arial"/>
          <w:b/>
          <w:bCs/>
          <w:color w:val="000000"/>
        </w:rPr>
        <w:t>Prosocial framing:</w:t>
      </w:r>
    </w:p>
    <w:p w14:paraId="09E23303" w14:textId="1855FF5B"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 xml:space="preserve">Frames are cognitive shortcuts that help us identify and label information (Goffman, 1974); they can be helpful for campaigns trying to portray themselves in a particular way. </w:t>
      </w:r>
      <w:r w:rsidR="005E5C67" w:rsidRPr="00E06B09">
        <w:rPr>
          <w:rFonts w:ascii="Arial" w:hAnsi="Arial" w:cs="Arial"/>
          <w:color w:val="000000"/>
        </w:rPr>
        <w:t>Prosocial</w:t>
      </w:r>
      <w:r w:rsidRPr="00E06B09">
        <w:rPr>
          <w:rFonts w:ascii="Arial" w:hAnsi="Arial" w:cs="Arial"/>
          <w:color w:val="000000"/>
        </w:rPr>
        <w:t xml:space="preserve"> orientated projects are campaigns that display care for others, </w:t>
      </w:r>
      <w:r w:rsidR="005E5C67" w:rsidRPr="00E06B09">
        <w:rPr>
          <w:rFonts w:ascii="Arial" w:hAnsi="Arial" w:cs="Arial"/>
          <w:color w:val="000000"/>
        </w:rPr>
        <w:t>society,</w:t>
      </w:r>
      <w:r w:rsidRPr="00E06B09">
        <w:rPr>
          <w:rFonts w:ascii="Arial" w:hAnsi="Arial" w:cs="Arial"/>
          <w:color w:val="000000"/>
        </w:rPr>
        <w:t xml:space="preserve"> and the environment (Brickson, 2007). Recently, firms have applied green marketing strategies by </w:t>
      </w:r>
      <w:r w:rsidRPr="00E06B09">
        <w:rPr>
          <w:rFonts w:ascii="Arial" w:hAnsi="Arial" w:cs="Arial"/>
          <w:color w:val="000000"/>
        </w:rPr>
        <w:lastRenderedPageBreak/>
        <w:t>communicating their environmental efforts to frame their company as prosocial and raise their competitive advantage (Szabo &amp; Webster, 2020). However, there is limited and inconclusive data regarding the effect of prosocial framing on crowdfunding campaigns. I present some of this research and explain why campaigns should take care when framing. </w:t>
      </w:r>
    </w:p>
    <w:p w14:paraId="45CBBDC0"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343B496A" w14:textId="6D1F4047"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Previous research looks heavily into the positive impact of prosocial framing on crowdfunding websites such as </w:t>
      </w:r>
      <w:hyperlink r:id="rId7" w:tgtFrame="_blank" w:history="1">
        <w:r w:rsidRPr="00E06B09">
          <w:rPr>
            <w:rStyle w:val="Hyperlink"/>
            <w:rFonts w:ascii="Arial" w:hAnsi="Arial" w:cs="Arial"/>
          </w:rPr>
          <w:t>kiva.org</w:t>
        </w:r>
      </w:hyperlink>
      <w:r w:rsidRPr="00E06B09">
        <w:rPr>
          <w:rFonts w:ascii="Arial" w:hAnsi="Arial" w:cs="Arial"/>
          <w:color w:val="000000"/>
        </w:rPr>
        <w:t> that specifically have a prosocial goal (Allison et al., 2015; Moss et al., 2018). However, the motivation of backers using Kiva is inherently prosocial (Galak et al., 2011); therefore, I narrowed my focus to research sites with no specific prosocial goal. Firstly, Calic and Mosakowski (2016)</w:t>
      </w:r>
      <w:r w:rsidRPr="00E06B09">
        <w:rPr>
          <w:rFonts w:ascii="Arial" w:hAnsi="Arial" w:cs="Arial"/>
          <w:b/>
          <w:bCs/>
          <w:color w:val="000000"/>
        </w:rPr>
        <w:t> </w:t>
      </w:r>
      <w:r w:rsidRPr="00E06B09">
        <w:rPr>
          <w:rFonts w:ascii="Arial" w:hAnsi="Arial" w:cs="Arial"/>
          <w:color w:val="000000"/>
        </w:rPr>
        <w:t xml:space="preserve">find that social orientation helps crowdfunding success. However, their study categorises projects into either prosocial or for-profit, ignoring for-profit campaigns that incorporate prosocial aspects. Research by Defazio et al. (2021) overcomes this issue by scoring different levels of prosocial orientation, finding that prosocial cues in crowdfunding campaigns </w:t>
      </w:r>
      <w:r w:rsidR="007B4438">
        <w:rPr>
          <w:rFonts w:ascii="Arial" w:hAnsi="Arial" w:cs="Arial"/>
          <w:color w:val="000000"/>
        </w:rPr>
        <w:t xml:space="preserve">help </w:t>
      </w:r>
      <w:r w:rsidRPr="00E06B09">
        <w:rPr>
          <w:rFonts w:ascii="Arial" w:hAnsi="Arial" w:cs="Arial"/>
          <w:color w:val="000000"/>
        </w:rPr>
        <w:t>differentiate campaigns and subsequently increase success. This is especially the case on crowded platforms such as Kickstarter which ha</w:t>
      </w:r>
      <w:r w:rsidR="007B4438">
        <w:rPr>
          <w:rFonts w:ascii="Arial" w:hAnsi="Arial" w:cs="Arial"/>
          <w:color w:val="000000"/>
        </w:rPr>
        <w:t>s</w:t>
      </w:r>
      <w:r w:rsidRPr="00E06B09">
        <w:rPr>
          <w:rFonts w:ascii="Arial" w:hAnsi="Arial" w:cs="Arial"/>
          <w:color w:val="000000"/>
        </w:rPr>
        <w:t xml:space="preserve"> low entry barriers. </w:t>
      </w:r>
    </w:p>
    <w:p w14:paraId="617C391A"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75A7933A" w14:textId="77777777"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However, Defazio et al. also find that overemphasising prosocial orientation can have detrimental impacts. This upper limit is because overemphasis hinders credibility, causing scepticism (Levin et al., 1998) and because prosocial aspects take attention away from other important attributes, such as rewards, causing uncertainty in backers (Meyer, 1981). Because crowdfunding sites only allow approximately ten words for the title and blurb, if a campaign includes prosocial cues, it can easily overshadow other attributes (Defazio, 2021). Accordingly, backers' appreciation for prosocial orientation may be contingent on the campaign also fulfilling backers' self-serving needs. This is supported by Moss (2018), who found that campaigns focusing on economic and prosocial values have greater success than those focusing on one value.</w:t>
      </w:r>
    </w:p>
    <w:p w14:paraId="38C810C8"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6E38941B" w14:textId="77777777"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lastRenderedPageBreak/>
        <w:t>Von Selasinsky and Lutz (2021) improve Defazio's study by taking a novel approach of studying both text and video. They replicated the inverted U-shape relationships between prosociality and crowdfunding success and found this effect was more significant for high-creativity projects. Therefore, founders must strike a balance between prosocial factors and other aspects, especially on crowded sites and for creative projects. However, if a campaign is prosocially driven, it may be more suitable to use a site like Kiva, where backers' main motivation is prosociality. As in these cases, campaigns do not seem to have an upper limit on prosocial cues (Allison et al., 2015; Moss et al., 2018). </w:t>
      </w:r>
    </w:p>
    <w:p w14:paraId="0B96CCA5"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33357ABB" w14:textId="77777777" w:rsidR="00E06B09" w:rsidRPr="00E06B09" w:rsidRDefault="00E06B09" w:rsidP="00E06B09">
      <w:pPr>
        <w:autoSpaceDE w:val="0"/>
        <w:autoSpaceDN w:val="0"/>
        <w:adjustRightInd w:val="0"/>
        <w:spacing w:after="0" w:line="480" w:lineRule="auto"/>
        <w:rPr>
          <w:rFonts w:ascii="Arial" w:hAnsi="Arial" w:cs="Arial"/>
          <w:color w:val="000000"/>
        </w:rPr>
      </w:pPr>
    </w:p>
    <w:p w14:paraId="25B238E5" w14:textId="77777777" w:rsidR="00E06B09" w:rsidRPr="00E06B09" w:rsidRDefault="00E06B09" w:rsidP="00E06B09">
      <w:pPr>
        <w:autoSpaceDE w:val="0"/>
        <w:autoSpaceDN w:val="0"/>
        <w:adjustRightInd w:val="0"/>
        <w:spacing w:after="0" w:line="480" w:lineRule="auto"/>
        <w:rPr>
          <w:rFonts w:ascii="Arial" w:hAnsi="Arial" w:cs="Arial"/>
          <w:color w:val="000000"/>
        </w:rPr>
      </w:pPr>
      <w:r w:rsidRPr="00E06B09">
        <w:rPr>
          <w:rFonts w:ascii="Arial" w:hAnsi="Arial" w:cs="Arial"/>
          <w:b/>
          <w:bCs/>
          <w:color w:val="000000"/>
        </w:rPr>
        <w:t>Conclusion </w:t>
      </w:r>
    </w:p>
    <w:p w14:paraId="413D5E51" w14:textId="77777777" w:rsidR="00E06B09" w:rsidRPr="00E06B09" w:rsidRDefault="00E06B09" w:rsidP="006101E4">
      <w:pPr>
        <w:autoSpaceDE w:val="0"/>
        <w:autoSpaceDN w:val="0"/>
        <w:adjustRightInd w:val="0"/>
        <w:spacing w:after="0" w:line="480" w:lineRule="auto"/>
        <w:ind w:firstLine="720"/>
        <w:rPr>
          <w:rFonts w:ascii="Arial" w:hAnsi="Arial" w:cs="Arial"/>
          <w:color w:val="000000"/>
        </w:rPr>
      </w:pPr>
      <w:r w:rsidRPr="00E06B09">
        <w:rPr>
          <w:rFonts w:ascii="Arial" w:hAnsi="Arial" w:cs="Arial"/>
          <w:color w:val="000000"/>
        </w:rPr>
        <w:t>Crowdfunding is changing how the economy operates, and businesses grow (Gerber et al., 2012). As it continues to grow in popularity, it is critical to understand its effectiveness and viability. The rewards tiers and the framing used can determine a campaign's success or failure (Kuppuswamy &amp; Bayus, 2015). Our review suggests that the choice overload effect is not prevalent in reward tiers, as more reward options (within reason) will lead to greater success. More robust evidence supports the use of prosocial framing. Suggesting it can be a powerful tool for creating a successful campaign. However, backers only appreciate prosocial orientation when there is a balance between prosocial framing and other information. The research presented in this review helps create a strategic framework for campaigns to gain the most from their profiles. Some critics suggest that crowdfunding should not be so readily available due to ethics and inefficiencies (Mollick, 2015). However, as regulations increase, this research will be more critical than ever as crowdfunding gains popularity. In the future, research will need to evolve with technological change and as the salience of prosocial framing increases, for example, through longitudinal studies. </w:t>
      </w:r>
    </w:p>
    <w:p w14:paraId="5F35ED3D" w14:textId="550EFD53" w:rsidR="00E70AE0" w:rsidRDefault="00E70AE0">
      <w:pPr>
        <w:rPr>
          <w:rFonts w:ascii="Arial" w:hAnsi="Arial" w:cs="Arial"/>
          <w:sz w:val="24"/>
          <w:szCs w:val="24"/>
        </w:rPr>
      </w:pPr>
      <w:r>
        <w:rPr>
          <w:rFonts w:ascii="Arial" w:hAnsi="Arial" w:cs="Arial"/>
          <w:sz w:val="24"/>
          <w:szCs w:val="24"/>
        </w:rPr>
        <w:br w:type="page"/>
      </w:r>
    </w:p>
    <w:p w14:paraId="41B2024B" w14:textId="7D3B3969" w:rsidR="00E70AE0" w:rsidRDefault="00E70AE0" w:rsidP="002432B6">
      <w:pPr>
        <w:autoSpaceDE w:val="0"/>
        <w:autoSpaceDN w:val="0"/>
        <w:adjustRightInd w:val="0"/>
        <w:spacing w:after="0" w:line="480" w:lineRule="auto"/>
        <w:ind w:left="720" w:hanging="720"/>
        <w:jc w:val="center"/>
        <w:rPr>
          <w:rFonts w:ascii="Helvetica" w:hAnsi="Helvetica" w:cs="Helvetica"/>
          <w:sz w:val="24"/>
          <w:szCs w:val="24"/>
        </w:rPr>
      </w:pPr>
      <w:r>
        <w:rPr>
          <w:rFonts w:ascii="Helvetica" w:hAnsi="Helvetica" w:cs="Helvetica"/>
          <w:sz w:val="24"/>
          <w:szCs w:val="24"/>
        </w:rPr>
        <w:lastRenderedPageBreak/>
        <w:t>References</w:t>
      </w:r>
    </w:p>
    <w:p w14:paraId="20D29A11" w14:textId="2669BE30"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Belleflamme, P., Lambert, T., &amp; Schwienbacher, A. (2014). Crowdfunding: Tapping the right crowd. </w:t>
      </w:r>
      <w:r>
        <w:rPr>
          <w:rFonts w:ascii="Helvetica" w:hAnsi="Helvetica" w:cs="Helvetica"/>
          <w:i/>
          <w:iCs/>
          <w:sz w:val="24"/>
          <w:szCs w:val="24"/>
        </w:rPr>
        <w:t>Journal of Business Venturing</w:t>
      </w:r>
      <w:r>
        <w:rPr>
          <w:rFonts w:ascii="Helvetica" w:hAnsi="Helvetica" w:cs="Helvetica"/>
          <w:sz w:val="24"/>
          <w:szCs w:val="24"/>
        </w:rPr>
        <w:t xml:space="preserve">, </w:t>
      </w:r>
      <w:r>
        <w:rPr>
          <w:rFonts w:ascii="Helvetica" w:hAnsi="Helvetica" w:cs="Helvetica"/>
          <w:i/>
          <w:iCs/>
          <w:sz w:val="24"/>
          <w:szCs w:val="24"/>
        </w:rPr>
        <w:t>29</w:t>
      </w:r>
      <w:r>
        <w:rPr>
          <w:rFonts w:ascii="Helvetica" w:hAnsi="Helvetica" w:cs="Helvetica"/>
          <w:sz w:val="24"/>
          <w:szCs w:val="24"/>
        </w:rPr>
        <w:t>(5), 585–609. https://doi.org/10.1016/j.jbusvent.2013.07.003</w:t>
      </w:r>
    </w:p>
    <w:p w14:paraId="4A6D48E1"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Bi, S., Liu, Z., &amp; Usman, K. (2017). The influence of online information on investing decisions of reward-based crowdfunding. </w:t>
      </w:r>
      <w:r>
        <w:rPr>
          <w:rFonts w:ascii="Helvetica" w:hAnsi="Helvetica" w:cs="Helvetica"/>
          <w:i/>
          <w:iCs/>
          <w:sz w:val="24"/>
          <w:szCs w:val="24"/>
        </w:rPr>
        <w:t>Journal of Business Research</w:t>
      </w:r>
      <w:r>
        <w:rPr>
          <w:rFonts w:ascii="Helvetica" w:hAnsi="Helvetica" w:cs="Helvetica"/>
          <w:sz w:val="24"/>
          <w:szCs w:val="24"/>
        </w:rPr>
        <w:t xml:space="preserve">, </w:t>
      </w:r>
      <w:r>
        <w:rPr>
          <w:rFonts w:ascii="Helvetica" w:hAnsi="Helvetica" w:cs="Helvetica"/>
          <w:i/>
          <w:iCs/>
          <w:sz w:val="24"/>
          <w:szCs w:val="24"/>
        </w:rPr>
        <w:t>71</w:t>
      </w:r>
      <w:r>
        <w:rPr>
          <w:rFonts w:ascii="Helvetica" w:hAnsi="Helvetica" w:cs="Helvetica"/>
          <w:sz w:val="24"/>
          <w:szCs w:val="24"/>
        </w:rPr>
        <w:t>, 10–18. https://doi.org/10.1016/j.jbusres.2016.10.001</w:t>
      </w:r>
    </w:p>
    <w:p w14:paraId="5D91BD3F"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Brickson, S. L. (2007). Organizational identity orientation: The genesis of the role of the firm and distinct forms of social value. </w:t>
      </w:r>
      <w:r>
        <w:rPr>
          <w:rFonts w:ascii="Helvetica" w:hAnsi="Helvetica" w:cs="Helvetica"/>
          <w:i/>
          <w:iCs/>
          <w:sz w:val="24"/>
          <w:szCs w:val="24"/>
        </w:rPr>
        <w:t>The Academy of Management Review</w:t>
      </w:r>
      <w:r>
        <w:rPr>
          <w:rFonts w:ascii="Helvetica" w:hAnsi="Helvetica" w:cs="Helvetica"/>
          <w:sz w:val="24"/>
          <w:szCs w:val="24"/>
        </w:rPr>
        <w:t xml:space="preserve">, </w:t>
      </w:r>
      <w:r>
        <w:rPr>
          <w:rFonts w:ascii="Helvetica" w:hAnsi="Helvetica" w:cs="Helvetica"/>
          <w:i/>
          <w:iCs/>
          <w:sz w:val="24"/>
          <w:szCs w:val="24"/>
        </w:rPr>
        <w:t>32</w:t>
      </w:r>
      <w:r>
        <w:rPr>
          <w:rFonts w:ascii="Helvetica" w:hAnsi="Helvetica" w:cs="Helvetica"/>
          <w:sz w:val="24"/>
          <w:szCs w:val="24"/>
        </w:rPr>
        <w:t>(3), 864–888. https://doi.org/10.2307/20159339</w:t>
      </w:r>
    </w:p>
    <w:p w14:paraId="3B160E1A"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Burtch, G., Ghose, A., &amp; Wattal, S. (2014). The hidden cost of accommodating crowdfunder privacy preferences: A randomized field experiment. </w:t>
      </w:r>
      <w:r>
        <w:rPr>
          <w:rFonts w:ascii="Helvetica" w:hAnsi="Helvetica" w:cs="Helvetica"/>
          <w:i/>
          <w:iCs/>
          <w:sz w:val="24"/>
          <w:szCs w:val="24"/>
        </w:rPr>
        <w:t>Papers.ssrn.com</w:t>
      </w:r>
      <w:r>
        <w:rPr>
          <w:rFonts w:ascii="Helvetica" w:hAnsi="Helvetica" w:cs="Helvetica"/>
          <w:sz w:val="24"/>
          <w:szCs w:val="24"/>
        </w:rPr>
        <w:t>. https://papers.ssrn.com/sol3/papers.cfm?abstract_id=2479577</w:t>
      </w:r>
    </w:p>
    <w:p w14:paraId="5827CAB8"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Calic, G., &amp; Mosakowski, E. (2016). Kicking off social entrepreneurship: How A sustainability orientation influences crowdfunding success. </w:t>
      </w:r>
      <w:r>
        <w:rPr>
          <w:rFonts w:ascii="Helvetica" w:hAnsi="Helvetica" w:cs="Helvetica"/>
          <w:i/>
          <w:iCs/>
          <w:sz w:val="24"/>
          <w:szCs w:val="24"/>
        </w:rPr>
        <w:t>Journal of Management Studies</w:t>
      </w:r>
      <w:r>
        <w:rPr>
          <w:rFonts w:ascii="Helvetica" w:hAnsi="Helvetica" w:cs="Helvetica"/>
          <w:sz w:val="24"/>
          <w:szCs w:val="24"/>
        </w:rPr>
        <w:t xml:space="preserve">, </w:t>
      </w:r>
      <w:r>
        <w:rPr>
          <w:rFonts w:ascii="Helvetica" w:hAnsi="Helvetica" w:cs="Helvetica"/>
          <w:i/>
          <w:iCs/>
          <w:sz w:val="24"/>
          <w:szCs w:val="24"/>
        </w:rPr>
        <w:t>53</w:t>
      </w:r>
      <w:r>
        <w:rPr>
          <w:rFonts w:ascii="Helvetica" w:hAnsi="Helvetica" w:cs="Helvetica"/>
          <w:sz w:val="24"/>
          <w:szCs w:val="24"/>
        </w:rPr>
        <w:t>(5), 738–767. https://doi.org/10.1111/joms.12201</w:t>
      </w:r>
    </w:p>
    <w:p w14:paraId="0998D56E"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Chen, S., Thomas, S., &amp; Kohli, C. (2016). What really makes a promotional campaign succeed on a crowdfunding platform. </w:t>
      </w:r>
      <w:r>
        <w:rPr>
          <w:rFonts w:ascii="Helvetica" w:hAnsi="Helvetica" w:cs="Helvetica"/>
          <w:i/>
          <w:iCs/>
          <w:sz w:val="24"/>
          <w:szCs w:val="24"/>
        </w:rPr>
        <w:t>Journal of Advertising Research</w:t>
      </w:r>
      <w:r>
        <w:rPr>
          <w:rFonts w:ascii="Helvetica" w:hAnsi="Helvetica" w:cs="Helvetica"/>
          <w:sz w:val="24"/>
          <w:szCs w:val="24"/>
        </w:rPr>
        <w:t xml:space="preserve">, </w:t>
      </w:r>
      <w:r>
        <w:rPr>
          <w:rFonts w:ascii="Helvetica" w:hAnsi="Helvetica" w:cs="Helvetica"/>
          <w:i/>
          <w:iCs/>
          <w:sz w:val="24"/>
          <w:szCs w:val="24"/>
        </w:rPr>
        <w:t>56</w:t>
      </w:r>
      <w:r>
        <w:rPr>
          <w:rFonts w:ascii="Helvetica" w:hAnsi="Helvetica" w:cs="Helvetica"/>
          <w:sz w:val="24"/>
          <w:szCs w:val="24"/>
        </w:rPr>
        <w:t>(1), 81–95.</w:t>
      </w:r>
    </w:p>
    <w:p w14:paraId="4740959B"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Chernev, A., Böckenholt, U., &amp; Goodman, J. (2015). Choice overload: A conceptual review and meta-analysis. </w:t>
      </w:r>
      <w:r>
        <w:rPr>
          <w:rFonts w:ascii="Helvetica" w:hAnsi="Helvetica" w:cs="Helvetica"/>
          <w:i/>
          <w:iCs/>
          <w:sz w:val="24"/>
          <w:szCs w:val="24"/>
        </w:rPr>
        <w:t>Journal of Consumer Psychology</w:t>
      </w:r>
      <w:r>
        <w:rPr>
          <w:rFonts w:ascii="Helvetica" w:hAnsi="Helvetica" w:cs="Helvetica"/>
          <w:sz w:val="24"/>
          <w:szCs w:val="24"/>
        </w:rPr>
        <w:t xml:space="preserve">, </w:t>
      </w:r>
      <w:r>
        <w:rPr>
          <w:rFonts w:ascii="Helvetica" w:hAnsi="Helvetica" w:cs="Helvetica"/>
          <w:i/>
          <w:iCs/>
          <w:sz w:val="24"/>
          <w:szCs w:val="24"/>
        </w:rPr>
        <w:t>25</w:t>
      </w:r>
      <w:r>
        <w:rPr>
          <w:rFonts w:ascii="Helvetica" w:hAnsi="Helvetica" w:cs="Helvetica"/>
          <w:sz w:val="24"/>
          <w:szCs w:val="24"/>
        </w:rPr>
        <w:t>(2), 333–358. https://doi.org/10.1016/j.jcps.2014.08.002</w:t>
      </w:r>
    </w:p>
    <w:p w14:paraId="13B84170"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lastRenderedPageBreak/>
        <w:t xml:space="preserve">Clauss, T., Niemand, T., Kraus, S., Schnetzer, P., &amp; Brem, A. (2019). Increasing crowdfunding success through social media: The importance of reach and utilisation in reward-based crowdfunding. </w:t>
      </w:r>
      <w:r>
        <w:rPr>
          <w:rFonts w:ascii="Helvetica" w:hAnsi="Helvetica" w:cs="Helvetica"/>
          <w:i/>
          <w:iCs/>
          <w:sz w:val="24"/>
          <w:szCs w:val="24"/>
        </w:rPr>
        <w:t>International Journal of Innovation Management</w:t>
      </w:r>
      <w:r>
        <w:rPr>
          <w:rFonts w:ascii="Helvetica" w:hAnsi="Helvetica" w:cs="Helvetica"/>
          <w:sz w:val="24"/>
          <w:szCs w:val="24"/>
        </w:rPr>
        <w:t xml:space="preserve">, </w:t>
      </w:r>
      <w:r>
        <w:rPr>
          <w:rFonts w:ascii="Helvetica" w:hAnsi="Helvetica" w:cs="Helvetica"/>
          <w:i/>
          <w:iCs/>
          <w:sz w:val="24"/>
          <w:szCs w:val="24"/>
        </w:rPr>
        <w:t>24</w:t>
      </w:r>
      <w:r>
        <w:rPr>
          <w:rFonts w:ascii="Helvetica" w:hAnsi="Helvetica" w:cs="Helvetica"/>
          <w:sz w:val="24"/>
          <w:szCs w:val="24"/>
        </w:rPr>
        <w:t>(3), 2050026. https://doi.org/10.1142/s1363919620500267</w:t>
      </w:r>
    </w:p>
    <w:p w14:paraId="1EB32F45"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Defazio, D., Franzoni, C., &amp; Rossi-Lamastra, C. (2020). How pro-social framing affects the success of crowdfunding projects: The role of emphasis and information crowdedness. </w:t>
      </w:r>
      <w:r>
        <w:rPr>
          <w:rFonts w:ascii="Helvetica" w:hAnsi="Helvetica" w:cs="Helvetica"/>
          <w:i/>
          <w:iCs/>
          <w:sz w:val="24"/>
          <w:szCs w:val="24"/>
        </w:rPr>
        <w:t>Journal of Business Ethics</w:t>
      </w:r>
      <w:r>
        <w:rPr>
          <w:rFonts w:ascii="Helvetica" w:hAnsi="Helvetica" w:cs="Helvetica"/>
          <w:sz w:val="24"/>
          <w:szCs w:val="24"/>
        </w:rPr>
        <w:t xml:space="preserve">, </w:t>
      </w:r>
      <w:r>
        <w:rPr>
          <w:rFonts w:ascii="Helvetica" w:hAnsi="Helvetica" w:cs="Helvetica"/>
          <w:i/>
          <w:iCs/>
          <w:sz w:val="24"/>
          <w:szCs w:val="24"/>
        </w:rPr>
        <w:t>171</w:t>
      </w:r>
      <w:r>
        <w:rPr>
          <w:rFonts w:ascii="Helvetica" w:hAnsi="Helvetica" w:cs="Helvetica"/>
          <w:sz w:val="24"/>
          <w:szCs w:val="24"/>
        </w:rPr>
        <w:t>, 357–378. https://doi.org/10.1007/s10551-020-04428-1</w:t>
      </w:r>
    </w:p>
    <w:p w14:paraId="5B292BC7"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Du, Z., &amp; Wang, K. (2017). More options make crowdfunding campaigns more successful? Investigation of the underlying mechanism. </w:t>
      </w:r>
      <w:r>
        <w:rPr>
          <w:rFonts w:ascii="Helvetica" w:hAnsi="Helvetica" w:cs="Helvetica"/>
          <w:i/>
          <w:iCs/>
          <w:sz w:val="24"/>
          <w:szCs w:val="24"/>
        </w:rPr>
        <w:t>AMCIS</w:t>
      </w:r>
      <w:r>
        <w:rPr>
          <w:rFonts w:ascii="Helvetica" w:hAnsi="Helvetica" w:cs="Helvetica"/>
          <w:sz w:val="24"/>
          <w:szCs w:val="24"/>
        </w:rPr>
        <w:t>.</w:t>
      </w:r>
    </w:p>
    <w:p w14:paraId="55815698"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Galak, J., Small, D., &amp; Stephen, A. T. (2011). Microfinance decision making: A field study of prosocial lending. </w:t>
      </w:r>
      <w:r>
        <w:rPr>
          <w:rFonts w:ascii="Helvetica" w:hAnsi="Helvetica" w:cs="Helvetica"/>
          <w:i/>
          <w:iCs/>
          <w:sz w:val="24"/>
          <w:szCs w:val="24"/>
        </w:rPr>
        <w:t>Journal of Marketing Research</w:t>
      </w:r>
      <w:r>
        <w:rPr>
          <w:rFonts w:ascii="Helvetica" w:hAnsi="Helvetica" w:cs="Helvetica"/>
          <w:sz w:val="24"/>
          <w:szCs w:val="24"/>
        </w:rPr>
        <w:t xml:space="preserve">, </w:t>
      </w:r>
      <w:r>
        <w:rPr>
          <w:rFonts w:ascii="Helvetica" w:hAnsi="Helvetica" w:cs="Helvetica"/>
          <w:i/>
          <w:iCs/>
          <w:sz w:val="24"/>
          <w:szCs w:val="24"/>
        </w:rPr>
        <w:t>48</w:t>
      </w:r>
      <w:r>
        <w:rPr>
          <w:rFonts w:ascii="Helvetica" w:hAnsi="Helvetica" w:cs="Helvetica"/>
          <w:sz w:val="24"/>
          <w:szCs w:val="24"/>
        </w:rPr>
        <w:t>(SPL), S130–S137. https://doi.org/10.1509/jmkr.48.spl.s130</w:t>
      </w:r>
    </w:p>
    <w:p w14:paraId="5DE3F53C"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Gerber, E., Hui, J., &amp; Kuo, P. (2012). Crowdfunding: Why people are motivated to post and fund projects on crowdfunding platforms. </w:t>
      </w:r>
      <w:r>
        <w:rPr>
          <w:rFonts w:ascii="Helvetica" w:hAnsi="Helvetica" w:cs="Helvetica"/>
          <w:i/>
          <w:iCs/>
          <w:sz w:val="24"/>
          <w:szCs w:val="24"/>
        </w:rPr>
        <w:t>Computer Supported Cooperative Work 2012</w:t>
      </w:r>
      <w:r>
        <w:rPr>
          <w:rFonts w:ascii="Helvetica" w:hAnsi="Helvetica" w:cs="Helvetica"/>
          <w:sz w:val="24"/>
          <w:szCs w:val="24"/>
        </w:rPr>
        <w:t>.</w:t>
      </w:r>
    </w:p>
    <w:p w14:paraId="0D43EDD8"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Giorgi, S., &amp; Weber, K. (2015). Marks of distinction. </w:t>
      </w:r>
      <w:r>
        <w:rPr>
          <w:rFonts w:ascii="Helvetica" w:hAnsi="Helvetica" w:cs="Helvetica"/>
          <w:i/>
          <w:iCs/>
          <w:sz w:val="24"/>
          <w:szCs w:val="24"/>
        </w:rPr>
        <w:t>Administrative Science Quarterly</w:t>
      </w:r>
      <w:r>
        <w:rPr>
          <w:rFonts w:ascii="Helvetica" w:hAnsi="Helvetica" w:cs="Helvetica"/>
          <w:sz w:val="24"/>
          <w:szCs w:val="24"/>
        </w:rPr>
        <w:t xml:space="preserve">, </w:t>
      </w:r>
      <w:r>
        <w:rPr>
          <w:rFonts w:ascii="Helvetica" w:hAnsi="Helvetica" w:cs="Helvetica"/>
          <w:i/>
          <w:iCs/>
          <w:sz w:val="24"/>
          <w:szCs w:val="24"/>
        </w:rPr>
        <w:t>60</w:t>
      </w:r>
      <w:r>
        <w:rPr>
          <w:rFonts w:ascii="Helvetica" w:hAnsi="Helvetica" w:cs="Helvetica"/>
          <w:sz w:val="24"/>
          <w:szCs w:val="24"/>
        </w:rPr>
        <w:t>(2), 333–367. https://doi.org/10.1177/0001839215571125</w:t>
      </w:r>
    </w:p>
    <w:p w14:paraId="0208324B"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Goffman, E. (1974). </w:t>
      </w:r>
      <w:r>
        <w:rPr>
          <w:rFonts w:ascii="Helvetica" w:hAnsi="Helvetica" w:cs="Helvetica"/>
          <w:i/>
          <w:iCs/>
          <w:sz w:val="24"/>
          <w:szCs w:val="24"/>
        </w:rPr>
        <w:t>Frame analysis : An essay on the organization of experience</w:t>
      </w:r>
      <w:r>
        <w:rPr>
          <w:rFonts w:ascii="Helvetica" w:hAnsi="Helvetica" w:cs="Helvetica"/>
          <w:sz w:val="24"/>
          <w:szCs w:val="24"/>
        </w:rPr>
        <w:t>. Boston Northeastern Univ. Press. https://urup.or.id/wp-content/uploads/2020/07/Erving_Goffman_Bennett_Berger_Frame_Analysis_BookFi.pdf</w:t>
      </w:r>
    </w:p>
    <w:p w14:paraId="0F7E0AEA"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lastRenderedPageBreak/>
        <w:t xml:space="preserve">Iyengar, S. S., &amp; Lepper, M. R. (2000). When choice is demotivating: Can one desire too much of a good thing? </w:t>
      </w:r>
      <w:r>
        <w:rPr>
          <w:rFonts w:ascii="Helvetica" w:hAnsi="Helvetica" w:cs="Helvetica"/>
          <w:i/>
          <w:iCs/>
          <w:sz w:val="24"/>
          <w:szCs w:val="24"/>
        </w:rPr>
        <w:t>Journal of Personality and Social Psychology</w:t>
      </w:r>
      <w:r>
        <w:rPr>
          <w:rFonts w:ascii="Helvetica" w:hAnsi="Helvetica" w:cs="Helvetica"/>
          <w:sz w:val="24"/>
          <w:szCs w:val="24"/>
        </w:rPr>
        <w:t xml:space="preserve">, </w:t>
      </w:r>
      <w:r>
        <w:rPr>
          <w:rFonts w:ascii="Helvetica" w:hAnsi="Helvetica" w:cs="Helvetica"/>
          <w:i/>
          <w:iCs/>
          <w:sz w:val="24"/>
          <w:szCs w:val="24"/>
        </w:rPr>
        <w:t>79</w:t>
      </w:r>
      <w:r>
        <w:rPr>
          <w:rFonts w:ascii="Helvetica" w:hAnsi="Helvetica" w:cs="Helvetica"/>
          <w:sz w:val="24"/>
          <w:szCs w:val="24"/>
        </w:rPr>
        <w:t>(6), 995–1006.</w:t>
      </w:r>
    </w:p>
    <w:p w14:paraId="7175782B"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Kahn, B., Moore, W. L., &amp; Glazer, R. (1987). Experiments in constrained choice. </w:t>
      </w:r>
      <w:r>
        <w:rPr>
          <w:rFonts w:ascii="Helvetica" w:hAnsi="Helvetica" w:cs="Helvetica"/>
          <w:i/>
          <w:iCs/>
          <w:sz w:val="24"/>
          <w:szCs w:val="24"/>
        </w:rPr>
        <w:t>Journal of Consumer Research</w:t>
      </w:r>
      <w:r>
        <w:rPr>
          <w:rFonts w:ascii="Helvetica" w:hAnsi="Helvetica" w:cs="Helvetica"/>
          <w:sz w:val="24"/>
          <w:szCs w:val="24"/>
        </w:rPr>
        <w:t xml:space="preserve">, </w:t>
      </w:r>
      <w:r>
        <w:rPr>
          <w:rFonts w:ascii="Helvetica" w:hAnsi="Helvetica" w:cs="Helvetica"/>
          <w:i/>
          <w:iCs/>
          <w:sz w:val="24"/>
          <w:szCs w:val="24"/>
        </w:rPr>
        <w:t>14</w:t>
      </w:r>
      <w:r>
        <w:rPr>
          <w:rFonts w:ascii="Helvetica" w:hAnsi="Helvetica" w:cs="Helvetica"/>
          <w:sz w:val="24"/>
          <w:szCs w:val="24"/>
        </w:rPr>
        <w:t>(1), 96. https://doi.org/10.1086/209096</w:t>
      </w:r>
    </w:p>
    <w:p w14:paraId="428FED33"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Kickstarter. (2019, May 7). </w:t>
      </w:r>
      <w:r>
        <w:rPr>
          <w:rFonts w:ascii="Helvetica" w:hAnsi="Helvetica" w:cs="Helvetica"/>
          <w:i/>
          <w:iCs/>
          <w:sz w:val="24"/>
          <w:szCs w:val="24"/>
        </w:rPr>
        <w:t>Kickstarter stats</w:t>
      </w:r>
      <w:r>
        <w:rPr>
          <w:rFonts w:ascii="Helvetica" w:hAnsi="Helvetica" w:cs="Helvetica"/>
          <w:sz w:val="24"/>
          <w:szCs w:val="24"/>
        </w:rPr>
        <w:t>. Kickstarter.com. https://www.kickstarter.com/help/stats</w:t>
      </w:r>
    </w:p>
    <w:p w14:paraId="268BA6CE"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Kuppuswamy, V., &amp; Bayus, B. L. (2015, November 2). Crowdfunding creative ideas: The dynamics of project backers in kickstarter. </w:t>
      </w:r>
      <w:r>
        <w:rPr>
          <w:rFonts w:ascii="Helvetica" w:hAnsi="Helvetica" w:cs="Helvetica"/>
          <w:i/>
          <w:iCs/>
          <w:sz w:val="24"/>
          <w:szCs w:val="24"/>
        </w:rPr>
        <w:t>The Economics of Crowdfunding: Startups, Portals, and Investor Behavior</w:t>
      </w:r>
      <w:r>
        <w:rPr>
          <w:rFonts w:ascii="Helvetica" w:hAnsi="Helvetica" w:cs="Helvetica"/>
          <w:sz w:val="24"/>
          <w:szCs w:val="24"/>
        </w:rPr>
        <w:t>. https://papers.ssrn.com/sol3/papers.cfm?abstract_id=2234765</w:t>
      </w:r>
    </w:p>
    <w:p w14:paraId="568AE82E"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Levin, I. P., Schneider, S. L., &amp; Gaeth, G. J. (1998). All frames are not created equal: A typology and critical analysis of framing effects. </w:t>
      </w:r>
      <w:r>
        <w:rPr>
          <w:rFonts w:ascii="Helvetica" w:hAnsi="Helvetica" w:cs="Helvetica"/>
          <w:i/>
          <w:iCs/>
          <w:sz w:val="24"/>
          <w:szCs w:val="24"/>
        </w:rPr>
        <w:t>Organizational Behavior and Human Decision Processes</w:t>
      </w:r>
      <w:r>
        <w:rPr>
          <w:rFonts w:ascii="Helvetica" w:hAnsi="Helvetica" w:cs="Helvetica"/>
          <w:sz w:val="24"/>
          <w:szCs w:val="24"/>
        </w:rPr>
        <w:t xml:space="preserve">, </w:t>
      </w:r>
      <w:r>
        <w:rPr>
          <w:rFonts w:ascii="Helvetica" w:hAnsi="Helvetica" w:cs="Helvetica"/>
          <w:i/>
          <w:iCs/>
          <w:sz w:val="24"/>
          <w:szCs w:val="24"/>
        </w:rPr>
        <w:t>76</w:t>
      </w:r>
      <w:r>
        <w:rPr>
          <w:rFonts w:ascii="Helvetica" w:hAnsi="Helvetica" w:cs="Helvetica"/>
          <w:sz w:val="24"/>
          <w:szCs w:val="24"/>
        </w:rPr>
        <w:t>(2), 149–188. https://doi.org/10.1006/obhd.1998.2804</w:t>
      </w:r>
    </w:p>
    <w:p w14:paraId="29FA0128"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Li, E., &amp; Martin, J. S. (2019). Capital formation and financial intermediation: The role of entrepreneur reputation formation. </w:t>
      </w:r>
      <w:r>
        <w:rPr>
          <w:rFonts w:ascii="Helvetica" w:hAnsi="Helvetica" w:cs="Helvetica"/>
          <w:i/>
          <w:iCs/>
          <w:sz w:val="24"/>
          <w:szCs w:val="24"/>
        </w:rPr>
        <w:t>Journal of Corporate Finance</w:t>
      </w:r>
      <w:r>
        <w:rPr>
          <w:rFonts w:ascii="Helvetica" w:hAnsi="Helvetica" w:cs="Helvetica"/>
          <w:sz w:val="24"/>
          <w:szCs w:val="24"/>
        </w:rPr>
        <w:t xml:space="preserve">, </w:t>
      </w:r>
      <w:r>
        <w:rPr>
          <w:rFonts w:ascii="Helvetica" w:hAnsi="Helvetica" w:cs="Helvetica"/>
          <w:i/>
          <w:iCs/>
          <w:sz w:val="24"/>
          <w:szCs w:val="24"/>
        </w:rPr>
        <w:t>59</w:t>
      </w:r>
      <w:r>
        <w:rPr>
          <w:rFonts w:ascii="Helvetica" w:hAnsi="Helvetica" w:cs="Helvetica"/>
          <w:sz w:val="24"/>
          <w:szCs w:val="24"/>
        </w:rPr>
        <w:t>(C), 185–201. https://ideas.repec.org/a/eee/corfin/v59y2019icp185-201.html</w:t>
      </w:r>
    </w:p>
    <w:p w14:paraId="770B2A34"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Lin, Y., Lee, W.-C., &amp; Chang, C.-C. H. (2016, August). Analysis of rewards on reward-based crowdfunding platforms. </w:t>
      </w:r>
      <w:r>
        <w:rPr>
          <w:rFonts w:ascii="Helvetica" w:hAnsi="Helvetica" w:cs="Helvetica"/>
          <w:i/>
          <w:iCs/>
          <w:sz w:val="24"/>
          <w:szCs w:val="24"/>
        </w:rPr>
        <w:t>2016 IEEE/ACM International Conference on Advances in Social Networks Analysis and Mining (ASONAM)</w:t>
      </w:r>
      <w:r>
        <w:rPr>
          <w:rFonts w:ascii="Helvetica" w:hAnsi="Helvetica" w:cs="Helvetica"/>
          <w:sz w:val="24"/>
          <w:szCs w:val="24"/>
        </w:rPr>
        <w:t>. https://doi.org/10.1109/asonam.2016.7752281</w:t>
      </w:r>
    </w:p>
    <w:p w14:paraId="025F0275"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Messinger, P., &amp; Narasimhan, C. (1996). A model of retail formats based on consumers’ economizing on shopping time. </w:t>
      </w:r>
      <w:r>
        <w:rPr>
          <w:rFonts w:ascii="Helvetica" w:hAnsi="Helvetica" w:cs="Helvetica"/>
          <w:i/>
          <w:iCs/>
          <w:sz w:val="24"/>
          <w:szCs w:val="24"/>
        </w:rPr>
        <w:t>Marketing Science</w:t>
      </w:r>
      <w:r>
        <w:rPr>
          <w:rFonts w:ascii="Helvetica" w:hAnsi="Helvetica" w:cs="Helvetica"/>
          <w:sz w:val="24"/>
          <w:szCs w:val="24"/>
        </w:rPr>
        <w:t xml:space="preserve">, </w:t>
      </w:r>
      <w:r>
        <w:rPr>
          <w:rFonts w:ascii="Helvetica" w:hAnsi="Helvetica" w:cs="Helvetica"/>
          <w:i/>
          <w:iCs/>
          <w:sz w:val="24"/>
          <w:szCs w:val="24"/>
        </w:rPr>
        <w:t>16</w:t>
      </w:r>
      <w:r>
        <w:rPr>
          <w:rFonts w:ascii="Helvetica" w:hAnsi="Helvetica" w:cs="Helvetica"/>
          <w:sz w:val="24"/>
          <w:szCs w:val="24"/>
        </w:rPr>
        <w:t>(1), 1–23.</w:t>
      </w:r>
    </w:p>
    <w:p w14:paraId="11EDF5D5"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lastRenderedPageBreak/>
        <w:t xml:space="preserve">Meyer, R. J. (1981). A model of multiattribute judgments under attribute uncertainty and informational constraint. </w:t>
      </w:r>
      <w:r>
        <w:rPr>
          <w:rFonts w:ascii="Helvetica" w:hAnsi="Helvetica" w:cs="Helvetica"/>
          <w:i/>
          <w:iCs/>
          <w:sz w:val="24"/>
          <w:szCs w:val="24"/>
        </w:rPr>
        <w:t>Journal of Marketing Research</w:t>
      </w:r>
      <w:r>
        <w:rPr>
          <w:rFonts w:ascii="Helvetica" w:hAnsi="Helvetica" w:cs="Helvetica"/>
          <w:sz w:val="24"/>
          <w:szCs w:val="24"/>
        </w:rPr>
        <w:t xml:space="preserve">, </w:t>
      </w:r>
      <w:r>
        <w:rPr>
          <w:rFonts w:ascii="Helvetica" w:hAnsi="Helvetica" w:cs="Helvetica"/>
          <w:i/>
          <w:iCs/>
          <w:sz w:val="24"/>
          <w:szCs w:val="24"/>
        </w:rPr>
        <w:t>18</w:t>
      </w:r>
      <w:r>
        <w:rPr>
          <w:rFonts w:ascii="Helvetica" w:hAnsi="Helvetica" w:cs="Helvetica"/>
          <w:sz w:val="24"/>
          <w:szCs w:val="24"/>
        </w:rPr>
        <w:t>(4), 428. https://doi.org/10.2307/3151336</w:t>
      </w:r>
    </w:p>
    <w:p w14:paraId="70FCB01D"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Mollick, E. (2015). </w:t>
      </w:r>
      <w:r>
        <w:rPr>
          <w:rFonts w:ascii="Helvetica" w:hAnsi="Helvetica" w:cs="Helvetica"/>
          <w:i/>
          <w:iCs/>
          <w:sz w:val="24"/>
          <w:szCs w:val="24"/>
        </w:rPr>
        <w:t>Kickstarter fulfillment report</w:t>
      </w:r>
      <w:r>
        <w:rPr>
          <w:rFonts w:ascii="Helvetica" w:hAnsi="Helvetica" w:cs="Helvetica"/>
          <w:sz w:val="24"/>
          <w:szCs w:val="24"/>
        </w:rPr>
        <w:t>. Www.kickstarter.com. https://www.kickstarter.com/fulfillment</w:t>
      </w:r>
    </w:p>
    <w:p w14:paraId="28FD412C"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Penz, R. F., Hörisch, J., &amp; Tenner, I. (2022). Investors in environmental ventures want good money—and a clean conscience: How framing, interest rates, and the environmental impact of crowdlending projects influence funding decisions. </w:t>
      </w:r>
      <w:r>
        <w:rPr>
          <w:rFonts w:ascii="Helvetica" w:hAnsi="Helvetica" w:cs="Helvetica"/>
          <w:i/>
          <w:iCs/>
          <w:sz w:val="24"/>
          <w:szCs w:val="24"/>
        </w:rPr>
        <w:t>Technological Forecasting and Social Change</w:t>
      </w:r>
      <w:r>
        <w:rPr>
          <w:rFonts w:ascii="Helvetica" w:hAnsi="Helvetica" w:cs="Helvetica"/>
          <w:sz w:val="24"/>
          <w:szCs w:val="24"/>
        </w:rPr>
        <w:t xml:space="preserve">, </w:t>
      </w:r>
      <w:r>
        <w:rPr>
          <w:rFonts w:ascii="Helvetica" w:hAnsi="Helvetica" w:cs="Helvetica"/>
          <w:i/>
          <w:iCs/>
          <w:sz w:val="24"/>
          <w:szCs w:val="24"/>
        </w:rPr>
        <w:t>182</w:t>
      </w:r>
      <w:r>
        <w:rPr>
          <w:rFonts w:ascii="Helvetica" w:hAnsi="Helvetica" w:cs="Helvetica"/>
          <w:sz w:val="24"/>
          <w:szCs w:val="24"/>
        </w:rPr>
        <w:t>, 121849. https://doi.org/10.1016/j.techfore.2022.121849</w:t>
      </w:r>
    </w:p>
    <w:p w14:paraId="16B9F98C"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Shneor, R., &amp; Torjesen, S. (2020). Ethical Considerations in Crowdfunding. In </w:t>
      </w:r>
      <w:r>
        <w:rPr>
          <w:rFonts w:ascii="Helvetica" w:hAnsi="Helvetica" w:cs="Helvetica"/>
          <w:i/>
          <w:iCs/>
          <w:sz w:val="24"/>
          <w:szCs w:val="24"/>
        </w:rPr>
        <w:t>Advances in Crowdfunding</w:t>
      </w:r>
      <w:r>
        <w:rPr>
          <w:rFonts w:ascii="Helvetica" w:hAnsi="Helvetica" w:cs="Helvetica"/>
          <w:sz w:val="24"/>
          <w:szCs w:val="24"/>
        </w:rPr>
        <w:t xml:space="preserve"> (pp. 161–182). Springer. https://doi.org/10.1007/978-3-030-46309-0_8</w:t>
      </w:r>
    </w:p>
    <w:p w14:paraId="77A72B0D"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Simonson, I. (1989). Choice based on reasons: The case of attraction and compromise effects. </w:t>
      </w:r>
      <w:r>
        <w:rPr>
          <w:rFonts w:ascii="Helvetica" w:hAnsi="Helvetica" w:cs="Helvetica"/>
          <w:i/>
          <w:iCs/>
          <w:sz w:val="24"/>
          <w:szCs w:val="24"/>
        </w:rPr>
        <w:t>Journal of Consumer Research</w:t>
      </w:r>
      <w:r>
        <w:rPr>
          <w:rFonts w:ascii="Helvetica" w:hAnsi="Helvetica" w:cs="Helvetica"/>
          <w:sz w:val="24"/>
          <w:szCs w:val="24"/>
        </w:rPr>
        <w:t xml:space="preserve">, </w:t>
      </w:r>
      <w:r>
        <w:rPr>
          <w:rFonts w:ascii="Helvetica" w:hAnsi="Helvetica" w:cs="Helvetica"/>
          <w:i/>
          <w:iCs/>
          <w:sz w:val="24"/>
          <w:szCs w:val="24"/>
        </w:rPr>
        <w:t>16</w:t>
      </w:r>
      <w:r>
        <w:rPr>
          <w:rFonts w:ascii="Helvetica" w:hAnsi="Helvetica" w:cs="Helvetica"/>
          <w:sz w:val="24"/>
          <w:szCs w:val="24"/>
        </w:rPr>
        <w:t>(2), 158. https://doi.org/10.1086/209205</w:t>
      </w:r>
    </w:p>
    <w:p w14:paraId="632B7E97"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Simonson, I., &amp; Tversky, A. (1992). Choice in context: Tradeoff contrast and extremeness aversion. </w:t>
      </w:r>
      <w:r>
        <w:rPr>
          <w:rFonts w:ascii="Helvetica" w:hAnsi="Helvetica" w:cs="Helvetica"/>
          <w:i/>
          <w:iCs/>
          <w:sz w:val="24"/>
          <w:szCs w:val="24"/>
        </w:rPr>
        <w:t>Journal of Marketing Research</w:t>
      </w:r>
      <w:r>
        <w:rPr>
          <w:rFonts w:ascii="Helvetica" w:hAnsi="Helvetica" w:cs="Helvetica"/>
          <w:sz w:val="24"/>
          <w:szCs w:val="24"/>
        </w:rPr>
        <w:t xml:space="preserve">, </w:t>
      </w:r>
      <w:r>
        <w:rPr>
          <w:rFonts w:ascii="Helvetica" w:hAnsi="Helvetica" w:cs="Helvetica"/>
          <w:i/>
          <w:iCs/>
          <w:sz w:val="24"/>
          <w:szCs w:val="24"/>
        </w:rPr>
        <w:t>29</w:t>
      </w:r>
      <w:r>
        <w:rPr>
          <w:rFonts w:ascii="Helvetica" w:hAnsi="Helvetica" w:cs="Helvetica"/>
          <w:sz w:val="24"/>
          <w:szCs w:val="24"/>
        </w:rPr>
        <w:t>(3), 281. https://doi.org/10.2307/3172740</w:t>
      </w:r>
    </w:p>
    <w:p w14:paraId="16A46437"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Song, M., Lee, W. S., &amp; Moon, J. (2019). Exploring effective price presentation format to reduce decision difficulty and increase decision satisfaction. </w:t>
      </w:r>
      <w:r>
        <w:rPr>
          <w:rFonts w:ascii="Helvetica" w:hAnsi="Helvetica" w:cs="Helvetica"/>
          <w:i/>
          <w:iCs/>
          <w:sz w:val="24"/>
          <w:szCs w:val="24"/>
        </w:rPr>
        <w:t>Tourism Management Perspectives</w:t>
      </w:r>
      <w:r>
        <w:rPr>
          <w:rFonts w:ascii="Helvetica" w:hAnsi="Helvetica" w:cs="Helvetica"/>
          <w:sz w:val="24"/>
          <w:szCs w:val="24"/>
        </w:rPr>
        <w:t xml:space="preserve">, </w:t>
      </w:r>
      <w:r>
        <w:rPr>
          <w:rFonts w:ascii="Helvetica" w:hAnsi="Helvetica" w:cs="Helvetica"/>
          <w:i/>
          <w:iCs/>
          <w:sz w:val="24"/>
          <w:szCs w:val="24"/>
        </w:rPr>
        <w:t>32</w:t>
      </w:r>
      <w:r>
        <w:rPr>
          <w:rFonts w:ascii="Helvetica" w:hAnsi="Helvetica" w:cs="Helvetica"/>
          <w:sz w:val="24"/>
          <w:szCs w:val="24"/>
        </w:rPr>
        <w:t>, 100572. https://doi.org/10.1016/j.tmp.2019.100572</w:t>
      </w:r>
    </w:p>
    <w:p w14:paraId="3BA54109"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lastRenderedPageBreak/>
        <w:t xml:space="preserve">Statista Research Department. (2022). </w:t>
      </w:r>
      <w:r>
        <w:rPr>
          <w:rFonts w:ascii="Helvetica" w:hAnsi="Helvetica" w:cs="Helvetica"/>
          <w:i/>
          <w:iCs/>
          <w:sz w:val="24"/>
          <w:szCs w:val="24"/>
        </w:rPr>
        <w:t>Kickstarter: projects and dollars 2022</w:t>
      </w:r>
      <w:r>
        <w:rPr>
          <w:rFonts w:ascii="Helvetica" w:hAnsi="Helvetica" w:cs="Helvetica"/>
          <w:sz w:val="24"/>
          <w:szCs w:val="24"/>
        </w:rPr>
        <w:t>. Statista. https://www.statista.com/statistics/251727/projects-and-dollars-overview-on-crowdfunding-platform-kickstarter/</w:t>
      </w:r>
    </w:p>
    <w:p w14:paraId="4DBCD2CE"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Szabo, S., &amp; Webster, J. (2020). Perceived greenwashing: The effects of green marketing on environmental and product perceptions. </w:t>
      </w:r>
      <w:r>
        <w:rPr>
          <w:rFonts w:ascii="Helvetica" w:hAnsi="Helvetica" w:cs="Helvetica"/>
          <w:i/>
          <w:iCs/>
          <w:sz w:val="24"/>
          <w:szCs w:val="24"/>
        </w:rPr>
        <w:t>Journal of Business Ethics</w:t>
      </w:r>
      <w:r>
        <w:rPr>
          <w:rFonts w:ascii="Helvetica" w:hAnsi="Helvetica" w:cs="Helvetica"/>
          <w:sz w:val="24"/>
          <w:szCs w:val="24"/>
        </w:rPr>
        <w:t xml:space="preserve">, </w:t>
      </w:r>
      <w:r>
        <w:rPr>
          <w:rFonts w:ascii="Helvetica" w:hAnsi="Helvetica" w:cs="Helvetica"/>
          <w:i/>
          <w:iCs/>
          <w:sz w:val="24"/>
          <w:szCs w:val="24"/>
        </w:rPr>
        <w:t>171</w:t>
      </w:r>
      <w:r>
        <w:rPr>
          <w:rFonts w:ascii="Helvetica" w:hAnsi="Helvetica" w:cs="Helvetica"/>
          <w:sz w:val="24"/>
          <w:szCs w:val="24"/>
        </w:rPr>
        <w:t>(4), 719–739. https://doi.org/10.1007/s10551-020-04461-0</w:t>
      </w:r>
    </w:p>
    <w:p w14:paraId="5FF00F30"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Thürridl, C., &amp; Kamleitner, B. (2016). What goes around comes around? Rewards as strategic assets in crowdfunding. </w:t>
      </w:r>
      <w:r>
        <w:rPr>
          <w:rFonts w:ascii="Helvetica" w:hAnsi="Helvetica" w:cs="Helvetica"/>
          <w:i/>
          <w:iCs/>
          <w:sz w:val="24"/>
          <w:szCs w:val="24"/>
        </w:rPr>
        <w:t>California Management Review</w:t>
      </w:r>
      <w:r>
        <w:rPr>
          <w:rFonts w:ascii="Helvetica" w:hAnsi="Helvetica" w:cs="Helvetica"/>
          <w:sz w:val="24"/>
          <w:szCs w:val="24"/>
        </w:rPr>
        <w:t xml:space="preserve">, </w:t>
      </w:r>
      <w:r>
        <w:rPr>
          <w:rFonts w:ascii="Helvetica" w:hAnsi="Helvetica" w:cs="Helvetica"/>
          <w:i/>
          <w:iCs/>
          <w:sz w:val="24"/>
          <w:szCs w:val="24"/>
        </w:rPr>
        <w:t>58</w:t>
      </w:r>
      <w:r>
        <w:rPr>
          <w:rFonts w:ascii="Helvetica" w:hAnsi="Helvetica" w:cs="Helvetica"/>
          <w:sz w:val="24"/>
          <w:szCs w:val="24"/>
        </w:rPr>
        <w:t>(2), 88–110. https://doi.org/10.1525/cmr.2016.58.2.88</w:t>
      </w:r>
    </w:p>
    <w:p w14:paraId="178382ED"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von Selasinsky, C., &amp; Lutz, E. (2021). The effects of pro-social and pro-environmental orientation on crowdfunding performance. </w:t>
      </w:r>
      <w:r>
        <w:rPr>
          <w:rFonts w:ascii="Helvetica" w:hAnsi="Helvetica" w:cs="Helvetica"/>
          <w:i/>
          <w:iCs/>
          <w:sz w:val="24"/>
          <w:szCs w:val="24"/>
        </w:rPr>
        <w:t>Sustainability</w:t>
      </w:r>
      <w:r>
        <w:rPr>
          <w:rFonts w:ascii="Helvetica" w:hAnsi="Helvetica" w:cs="Helvetica"/>
          <w:sz w:val="24"/>
          <w:szCs w:val="24"/>
        </w:rPr>
        <w:t xml:space="preserve">, </w:t>
      </w:r>
      <w:r>
        <w:rPr>
          <w:rFonts w:ascii="Helvetica" w:hAnsi="Helvetica" w:cs="Helvetica"/>
          <w:i/>
          <w:iCs/>
          <w:sz w:val="24"/>
          <w:szCs w:val="24"/>
        </w:rPr>
        <w:t>13</w:t>
      </w:r>
      <w:r>
        <w:rPr>
          <w:rFonts w:ascii="Helvetica" w:hAnsi="Helvetica" w:cs="Helvetica"/>
          <w:sz w:val="24"/>
          <w:szCs w:val="24"/>
        </w:rPr>
        <w:t>(11), 6064. https://doi.org/10.3390/su13116064</w:t>
      </w:r>
    </w:p>
    <w:p w14:paraId="2B427373"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Waites, S. F., Stevens, J. L., &amp; Hancock, T. (2020). Signaling green: Investigating signals of expertise and prosocial orientation to enhance consumer trust. </w:t>
      </w:r>
      <w:r>
        <w:rPr>
          <w:rFonts w:ascii="Helvetica" w:hAnsi="Helvetica" w:cs="Helvetica"/>
          <w:i/>
          <w:iCs/>
          <w:sz w:val="24"/>
          <w:szCs w:val="24"/>
        </w:rPr>
        <w:t>Journal of Consumer Behaviour</w:t>
      </w:r>
      <w:r>
        <w:rPr>
          <w:rFonts w:ascii="Helvetica" w:hAnsi="Helvetica" w:cs="Helvetica"/>
          <w:sz w:val="24"/>
          <w:szCs w:val="24"/>
        </w:rPr>
        <w:t xml:space="preserve">, </w:t>
      </w:r>
      <w:r>
        <w:rPr>
          <w:rFonts w:ascii="Helvetica" w:hAnsi="Helvetica" w:cs="Helvetica"/>
          <w:i/>
          <w:iCs/>
          <w:sz w:val="24"/>
          <w:szCs w:val="24"/>
        </w:rPr>
        <w:t>19</w:t>
      </w:r>
      <w:r>
        <w:rPr>
          <w:rFonts w:ascii="Helvetica" w:hAnsi="Helvetica" w:cs="Helvetica"/>
          <w:sz w:val="24"/>
          <w:szCs w:val="24"/>
        </w:rPr>
        <w:t>(6), 632–644. https://doi.org/10.1002/cb.1867</w:t>
      </w:r>
    </w:p>
    <w:p w14:paraId="2F53C2D8" w14:textId="77777777" w:rsidR="00E70AE0" w:rsidRDefault="00E70AE0" w:rsidP="00E70AE0">
      <w:pPr>
        <w:autoSpaceDE w:val="0"/>
        <w:autoSpaceDN w:val="0"/>
        <w:adjustRightInd w:val="0"/>
        <w:spacing w:after="0" w:line="480" w:lineRule="auto"/>
        <w:ind w:left="720" w:hanging="720"/>
        <w:rPr>
          <w:rFonts w:ascii="Helvetica" w:hAnsi="Helvetica" w:cs="Helvetica"/>
          <w:sz w:val="24"/>
          <w:szCs w:val="24"/>
        </w:rPr>
      </w:pPr>
      <w:r>
        <w:rPr>
          <w:rFonts w:ascii="Helvetica" w:hAnsi="Helvetica" w:cs="Helvetica"/>
          <w:sz w:val="24"/>
          <w:szCs w:val="24"/>
        </w:rPr>
        <w:t xml:space="preserve">Xiao, S., Tan, X., Dong, M., &amp; Qi, J. (2014). </w:t>
      </w:r>
      <w:r>
        <w:rPr>
          <w:rFonts w:ascii="Helvetica" w:hAnsi="Helvetica" w:cs="Helvetica"/>
          <w:i/>
          <w:iCs/>
          <w:sz w:val="24"/>
          <w:szCs w:val="24"/>
        </w:rPr>
        <w:t>How to design your project in the online crowdfunding market? Evidence from kickstarter</w:t>
      </w:r>
      <w:r>
        <w:rPr>
          <w:rFonts w:ascii="Helvetica" w:hAnsi="Helvetica" w:cs="Helvetica"/>
          <w:sz w:val="24"/>
          <w:szCs w:val="24"/>
        </w:rPr>
        <w:t>. https://web.archive.org/web/20200324065737id_/https://aisel.aisnet.org/cgi/viewcontent.cgi?referer=&amp;httpsredir=1&amp;article=1088&amp;context=icis2014</w:t>
      </w:r>
    </w:p>
    <w:p w14:paraId="3B194413" w14:textId="77777777" w:rsidR="00F5698A" w:rsidRPr="00DC5D9A" w:rsidRDefault="00F5698A" w:rsidP="00E06B09">
      <w:pPr>
        <w:autoSpaceDE w:val="0"/>
        <w:autoSpaceDN w:val="0"/>
        <w:adjustRightInd w:val="0"/>
        <w:spacing w:after="0" w:line="480" w:lineRule="auto"/>
        <w:rPr>
          <w:rFonts w:ascii="Arial" w:hAnsi="Arial" w:cs="Arial"/>
          <w:sz w:val="24"/>
          <w:szCs w:val="24"/>
        </w:rPr>
      </w:pPr>
    </w:p>
    <w:sectPr w:rsidR="00F5698A" w:rsidRPr="00DC5D9A" w:rsidSect="005E5C67">
      <w:headerReference w:type="even" r:id="rId8"/>
      <w:headerReference w:type="default" r:id="rId9"/>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7ECD90" w14:textId="77777777" w:rsidR="008F6094" w:rsidRDefault="008F6094" w:rsidP="00232E5A">
      <w:pPr>
        <w:spacing w:after="0" w:line="240" w:lineRule="auto"/>
      </w:pPr>
      <w:r>
        <w:separator/>
      </w:r>
    </w:p>
  </w:endnote>
  <w:endnote w:type="continuationSeparator" w:id="0">
    <w:p w14:paraId="309F0926" w14:textId="77777777" w:rsidR="008F6094" w:rsidRDefault="008F6094" w:rsidP="00232E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E69A65" w14:textId="77777777" w:rsidR="008F6094" w:rsidRDefault="008F6094" w:rsidP="00232E5A">
      <w:pPr>
        <w:spacing w:after="0" w:line="240" w:lineRule="auto"/>
      </w:pPr>
      <w:r>
        <w:separator/>
      </w:r>
    </w:p>
  </w:footnote>
  <w:footnote w:type="continuationSeparator" w:id="0">
    <w:p w14:paraId="5615CD58" w14:textId="77777777" w:rsidR="008F6094" w:rsidRDefault="008F6094" w:rsidP="00232E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13050028"/>
      <w:docPartObj>
        <w:docPartGallery w:val="Page Numbers (Top of Page)"/>
        <w:docPartUnique/>
      </w:docPartObj>
    </w:sdtPr>
    <w:sdtContent>
      <w:p w14:paraId="1B36C607" w14:textId="02DE1A6E" w:rsidR="005E5C67" w:rsidRDefault="005E5C67" w:rsidP="00C812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3BA4006" w14:textId="77777777" w:rsidR="005E5C67" w:rsidRDefault="005E5C67" w:rsidP="005E5C67">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26903468"/>
      <w:docPartObj>
        <w:docPartGallery w:val="Page Numbers (Top of Page)"/>
        <w:docPartUnique/>
      </w:docPartObj>
    </w:sdtPr>
    <w:sdtContent>
      <w:p w14:paraId="35EDBEB2" w14:textId="7F887D93" w:rsidR="005E5C67" w:rsidRDefault="005E5C67" w:rsidP="00C81284">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AF78D1F" w14:textId="77777777" w:rsidR="005E5C67" w:rsidRDefault="005E5C67" w:rsidP="005E5C67">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A6633C"/>
    <w:multiLevelType w:val="hybridMultilevel"/>
    <w:tmpl w:val="E7543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220A17"/>
    <w:multiLevelType w:val="multilevel"/>
    <w:tmpl w:val="9996AC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1773015352">
    <w:abstractNumId w:val="1"/>
  </w:num>
  <w:num w:numId="2" w16cid:durableId="109690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2E5A"/>
    <w:rsid w:val="00073E72"/>
    <w:rsid w:val="000D570C"/>
    <w:rsid w:val="000E7E86"/>
    <w:rsid w:val="002049DB"/>
    <w:rsid w:val="00232E5A"/>
    <w:rsid w:val="002432B6"/>
    <w:rsid w:val="00261208"/>
    <w:rsid w:val="002753DB"/>
    <w:rsid w:val="003032F5"/>
    <w:rsid w:val="0037528D"/>
    <w:rsid w:val="00434B91"/>
    <w:rsid w:val="004536CE"/>
    <w:rsid w:val="00461105"/>
    <w:rsid w:val="00464D7C"/>
    <w:rsid w:val="004A5507"/>
    <w:rsid w:val="004D1275"/>
    <w:rsid w:val="0059736C"/>
    <w:rsid w:val="005E5C67"/>
    <w:rsid w:val="006075CD"/>
    <w:rsid w:val="006101E4"/>
    <w:rsid w:val="006F1FC5"/>
    <w:rsid w:val="007B4438"/>
    <w:rsid w:val="00855BDB"/>
    <w:rsid w:val="00896AEE"/>
    <w:rsid w:val="008F6094"/>
    <w:rsid w:val="00964078"/>
    <w:rsid w:val="009B157B"/>
    <w:rsid w:val="009C7952"/>
    <w:rsid w:val="00B0684B"/>
    <w:rsid w:val="00CB57EE"/>
    <w:rsid w:val="00CD4114"/>
    <w:rsid w:val="00D85B9D"/>
    <w:rsid w:val="00DA7B4A"/>
    <w:rsid w:val="00DB5FBA"/>
    <w:rsid w:val="00DC15C3"/>
    <w:rsid w:val="00DC542F"/>
    <w:rsid w:val="00DC5D9A"/>
    <w:rsid w:val="00E06B09"/>
    <w:rsid w:val="00E566CE"/>
    <w:rsid w:val="00E70AE0"/>
    <w:rsid w:val="00E80DF9"/>
    <w:rsid w:val="00F51490"/>
    <w:rsid w:val="00F5698A"/>
    <w:rsid w:val="00FC7B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C905B"/>
  <w15:chartTrackingRefBased/>
  <w15:docId w15:val="{38BC86FA-AF79-4F4F-95C7-5B0C867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2E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2E5A"/>
  </w:style>
  <w:style w:type="paragraph" w:styleId="Footer">
    <w:name w:val="footer"/>
    <w:basedOn w:val="Normal"/>
    <w:link w:val="FooterChar"/>
    <w:uiPriority w:val="99"/>
    <w:unhideWhenUsed/>
    <w:rsid w:val="00232E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2E5A"/>
  </w:style>
  <w:style w:type="paragraph" w:styleId="ListParagraph">
    <w:name w:val="List Paragraph"/>
    <w:basedOn w:val="Normal"/>
    <w:uiPriority w:val="34"/>
    <w:qFormat/>
    <w:rsid w:val="00232E5A"/>
    <w:pPr>
      <w:ind w:left="720"/>
      <w:contextualSpacing/>
    </w:pPr>
  </w:style>
  <w:style w:type="table" w:styleId="TableGrid">
    <w:name w:val="Table Grid"/>
    <w:basedOn w:val="TableNormal"/>
    <w:uiPriority w:val="39"/>
    <w:rsid w:val="00CB57E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06B09"/>
    <w:rPr>
      <w:color w:val="0563C1" w:themeColor="hyperlink"/>
      <w:u w:val="single"/>
    </w:rPr>
  </w:style>
  <w:style w:type="character" w:styleId="UnresolvedMention">
    <w:name w:val="Unresolved Mention"/>
    <w:basedOn w:val="DefaultParagraphFont"/>
    <w:uiPriority w:val="99"/>
    <w:semiHidden/>
    <w:unhideWhenUsed/>
    <w:rsid w:val="00E06B09"/>
    <w:rPr>
      <w:color w:val="605E5C"/>
      <w:shd w:val="clear" w:color="auto" w:fill="E1DFDD"/>
    </w:rPr>
  </w:style>
  <w:style w:type="character" w:styleId="PageNumber">
    <w:name w:val="page number"/>
    <w:basedOn w:val="DefaultParagraphFont"/>
    <w:uiPriority w:val="99"/>
    <w:semiHidden/>
    <w:unhideWhenUsed/>
    <w:rsid w:val="005E5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538133">
      <w:bodyDiv w:val="1"/>
      <w:marLeft w:val="0"/>
      <w:marRight w:val="0"/>
      <w:marTop w:val="0"/>
      <w:marBottom w:val="0"/>
      <w:divBdr>
        <w:top w:val="none" w:sz="0" w:space="0" w:color="auto"/>
        <w:left w:val="none" w:sz="0" w:space="0" w:color="auto"/>
        <w:bottom w:val="none" w:sz="0" w:space="0" w:color="auto"/>
        <w:right w:val="none" w:sz="0" w:space="0" w:color="auto"/>
      </w:divBdr>
    </w:div>
    <w:div w:id="721446708">
      <w:bodyDiv w:val="1"/>
      <w:marLeft w:val="0"/>
      <w:marRight w:val="0"/>
      <w:marTop w:val="0"/>
      <w:marBottom w:val="0"/>
      <w:divBdr>
        <w:top w:val="none" w:sz="0" w:space="0" w:color="auto"/>
        <w:left w:val="none" w:sz="0" w:space="0" w:color="auto"/>
        <w:bottom w:val="none" w:sz="0" w:space="0" w:color="auto"/>
        <w:right w:val="none" w:sz="0" w:space="0" w:color="auto"/>
      </w:divBdr>
    </w:div>
    <w:div w:id="140904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kiva.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2610</Words>
  <Characters>14882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Bath</Company>
  <LinksUpToDate>false</LinksUpToDate>
  <CharactersWithSpaces>17458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Chapman</dc:creator>
  <cp:keywords/>
  <dc:description/>
  <cp:lastModifiedBy>Mei Yee Yau</cp:lastModifiedBy>
  <cp:revision>14</cp:revision>
  <dcterms:created xsi:type="dcterms:W3CDTF">2022-11-15T18:00:00Z</dcterms:created>
  <dcterms:modified xsi:type="dcterms:W3CDTF">2023-07-27T17:20:00Z</dcterms:modified>
</cp:coreProperties>
</file>