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00C3" w14:textId="60561BCF" w:rsidR="00BC5C5F" w:rsidRDefault="00020372" w:rsidP="00C9513A">
      <w:pPr>
        <w:pStyle w:val="a7"/>
      </w:pPr>
      <w:r>
        <w:fldChar w:fldCharType="begin"/>
      </w:r>
      <w:r>
        <w:instrText xml:space="preserve"> MACROBUTTON AMEditEquationSection2 </w:instrText>
      </w:r>
      <w:r w:rsidRPr="00020372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C9513A">
        <w:rPr>
          <w:rFonts w:hint="eastAsia"/>
        </w:rPr>
        <w:t>1</w:t>
      </w:r>
      <w:r w:rsidR="00C9513A">
        <w:t xml:space="preserve">. </w:t>
      </w:r>
      <w:r w:rsidR="00826616">
        <w:rPr>
          <w:rFonts w:hint="eastAsia"/>
        </w:rPr>
        <w:t>Funda</w:t>
      </w:r>
      <w:r w:rsidR="00826616">
        <w:t>mentals</w:t>
      </w:r>
    </w:p>
    <w:p w14:paraId="622C9E2E" w14:textId="07AD4E90" w:rsidR="003455D0" w:rsidRDefault="003455D0" w:rsidP="00C9513A">
      <w:pPr>
        <w:pStyle w:val="a7"/>
      </w:pPr>
      <w:r>
        <w:rPr>
          <w:rFonts w:hint="eastAsia"/>
        </w:rPr>
        <w:t>1</w:t>
      </w:r>
      <w:r>
        <w:t>.1 Introduction</w:t>
      </w:r>
    </w:p>
    <w:p w14:paraId="6D6791F6" w14:textId="5D5EA6FD" w:rsidR="00E414A8" w:rsidRDefault="00E414A8" w:rsidP="00E414A8">
      <w:pPr>
        <w:ind w:firstLineChars="0" w:firstLine="420"/>
      </w:pPr>
      <w:r>
        <w:rPr>
          <w:rFonts w:hint="eastAsia"/>
        </w:rPr>
        <w:t>1</w:t>
      </w:r>
      <w:r>
        <w:t xml:space="preserve">) </w:t>
      </w:r>
      <w:r w:rsidRPr="0089010F">
        <w:rPr>
          <w:rFonts w:hint="eastAsia"/>
          <w:highlight w:val="yellow"/>
        </w:rPr>
        <w:t>Local</w:t>
      </w:r>
      <w:r w:rsidRPr="0089010F">
        <w:rPr>
          <w:highlight w:val="yellow"/>
        </w:rPr>
        <w:t>ization and positioning</w:t>
      </w:r>
      <w:r>
        <w:t xml:space="preserve"> are used for estimation of the state of a connected device in a global frame of reference.</w:t>
      </w:r>
    </w:p>
    <w:p w14:paraId="51A6AA1B" w14:textId="49D84099" w:rsidR="00E414A8" w:rsidRDefault="00E414A8" w:rsidP="00E414A8">
      <w:pPr>
        <w:ind w:firstLineChars="0" w:firstLine="420"/>
      </w:pPr>
      <w:r>
        <w:rPr>
          <w:rFonts w:hint="eastAsia"/>
        </w:rPr>
        <w:t>2</w:t>
      </w:r>
      <w:r>
        <w:t xml:space="preserve">) </w:t>
      </w:r>
      <w:r w:rsidR="0089010F" w:rsidRPr="0089010F">
        <w:rPr>
          <w:highlight w:val="yellow"/>
        </w:rPr>
        <w:t>M</w:t>
      </w:r>
      <w:r w:rsidR="0089010F" w:rsidRPr="0089010F">
        <w:rPr>
          <w:highlight w:val="yellow"/>
        </w:rPr>
        <w:t>onostatic</w:t>
      </w:r>
      <w:r w:rsidR="0089010F" w:rsidRPr="003D07E2">
        <w:rPr>
          <w:highlight w:val="yellow"/>
        </w:rPr>
        <w:t xml:space="preserve"> </w:t>
      </w:r>
      <w:r w:rsidR="003D07E2" w:rsidRPr="003D07E2">
        <w:rPr>
          <w:highlight w:val="yellow"/>
        </w:rPr>
        <w:t>sensing</w:t>
      </w:r>
      <w:r w:rsidR="0089010F" w:rsidRPr="0089010F">
        <w:t xml:space="preserve"> is a local process, and can thus rely on a tailored, highly specialized, and hardware friendly waveforms, without strict standardization constraints.</w:t>
      </w:r>
    </w:p>
    <w:p w14:paraId="00D49D68" w14:textId="77A7612A" w:rsidR="00D60CE2" w:rsidRDefault="0089010F" w:rsidP="00D60CE2">
      <w:pPr>
        <w:ind w:firstLineChars="0" w:firstLine="420"/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3455D0" w:rsidRPr="003D07E2">
        <w:rPr>
          <w:highlight w:val="yellow"/>
        </w:rPr>
        <w:t>Bistatic sensing</w:t>
      </w:r>
      <w:r w:rsidR="003455D0">
        <w:t xml:space="preserve"> </w:t>
      </w:r>
      <w:r w:rsidR="003455D0" w:rsidRPr="003455D0">
        <w:t>is similar to communication and localization (i.e., when the transmitter or receiver have an unknown position).</w:t>
      </w:r>
    </w:p>
    <w:p w14:paraId="6ABD195C" w14:textId="1F017383" w:rsidR="00C9513A" w:rsidRDefault="00E414A8" w:rsidP="00C9513A">
      <w:pPr>
        <w:pStyle w:val="a7"/>
      </w:pPr>
      <w:r>
        <w:rPr>
          <w:noProof/>
        </w:rPr>
        <w:drawing>
          <wp:inline distT="0" distB="0" distL="0" distR="0" wp14:anchorId="15B93CE3" wp14:editId="50926B11">
            <wp:extent cx="5274310" cy="2597785"/>
            <wp:effectExtent l="0" t="0" r="2540" b="0"/>
            <wp:docPr id="800760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88D" w14:textId="006AA212" w:rsidR="00D60CE2" w:rsidRDefault="00D60CE2" w:rsidP="00D60CE2">
      <w:pPr>
        <w:ind w:firstLine="420"/>
      </w:pPr>
      <w:r w:rsidRPr="00D60CE2">
        <w:t xml:space="preserve">With radar systems and communication systems expected to </w:t>
      </w:r>
      <w:r w:rsidRPr="00C520CB">
        <w:rPr>
          <w:b/>
          <w:bCs/>
        </w:rPr>
        <w:t>operate in similar frequency bands</w:t>
      </w:r>
      <w:r w:rsidRPr="00D60CE2">
        <w:t xml:space="preserve">, </w:t>
      </w:r>
      <w:r w:rsidRPr="00C520CB">
        <w:rPr>
          <w:b/>
          <w:bCs/>
        </w:rPr>
        <w:t>there is a potential convergence</w:t>
      </w:r>
      <w:r w:rsidRPr="0067415F">
        <w:t xml:space="preserve">, both in terms of hardware and signals, </w:t>
      </w:r>
      <w:r w:rsidRPr="00C520CB">
        <w:rPr>
          <w:b/>
          <w:bCs/>
        </w:rPr>
        <w:t>of sensing and communication systems</w:t>
      </w:r>
      <w:r>
        <w:t>.</w:t>
      </w:r>
    </w:p>
    <w:p w14:paraId="02B181A7" w14:textId="6EC78C5A" w:rsidR="000A7CEA" w:rsidRDefault="00B5699A" w:rsidP="000A7CEA">
      <w:pPr>
        <w:ind w:firstLine="420"/>
      </w:pPr>
      <w:r>
        <w:t>I</w:t>
      </w:r>
      <w:r w:rsidRPr="00B5699A">
        <w:t>ntegrated sensing and communication</w:t>
      </w:r>
      <w:r>
        <w:t xml:space="preserve"> (</w:t>
      </w:r>
      <w:r w:rsidRPr="000A7CEA">
        <w:rPr>
          <w:highlight w:val="yellow"/>
        </w:rPr>
        <w:t>ISAC</w:t>
      </w:r>
      <w:r>
        <w:t>) is expected to be the main features of 6G.</w:t>
      </w:r>
    </w:p>
    <w:p w14:paraId="212010C0" w14:textId="200BE57A" w:rsidR="000A7CEA" w:rsidRDefault="00F76E2A" w:rsidP="00F76E2A">
      <w:pPr>
        <w:pStyle w:val="a5"/>
      </w:pPr>
      <w:r>
        <w:rPr>
          <w:rFonts w:hint="eastAsia"/>
        </w:rPr>
        <w:t>1</w:t>
      </w:r>
      <w:r>
        <w:t>.2 Models and Problem Definitions</w:t>
      </w:r>
    </w:p>
    <w:p w14:paraId="5AC2412E" w14:textId="01CA71CD" w:rsidR="00F76E2A" w:rsidRDefault="00300E0D" w:rsidP="00300E0D">
      <w:pPr>
        <w:pStyle w:val="a7"/>
      </w:pPr>
      <w:r>
        <w:rPr>
          <w:rFonts w:hint="eastAsia"/>
        </w:rPr>
        <w:t>1</w:t>
      </w:r>
      <w:r>
        <w:t>.2.1 Generic Observation Model</w:t>
      </w:r>
    </w:p>
    <w:p w14:paraId="6ADD75F5" w14:textId="1E364D09" w:rsidR="00300E0D" w:rsidRDefault="00300E0D" w:rsidP="00300E0D">
      <w:pPr>
        <w:pStyle w:val="aa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Ch</w:t>
      </w:r>
      <w:r>
        <w:t>annel Model</w:t>
      </w:r>
    </w:p>
    <w:p w14:paraId="4A336347" w14:textId="285B2BF9" w:rsidR="00300E0D" w:rsidRDefault="00C35CB4" w:rsidP="00C35CB4">
      <w:pPr>
        <w:ind w:firstLine="420"/>
      </w:pPr>
      <w:r>
        <w:rPr>
          <w:rFonts w:hint="eastAsia"/>
        </w:rPr>
        <w:t>T</w:t>
      </w:r>
      <w:r>
        <w:t xml:space="preserve">he channel between a transmitter with </w:t>
      </w:r>
      <w:r w:rsidRPr="00C35CB4">
        <w:rPr>
          <w:position w:val="-10"/>
        </w:rPr>
        <w:object w:dxaOrig="389" w:dyaOrig="315" w14:anchorId="7222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4pt;height:15.7pt" o:ole="">
            <v:imagedata r:id="rId6" o:title=""/>
          </v:shape>
          <o:OLEObject Type="Embed" ProgID="Equation.AxMath" ShapeID="_x0000_i1027" DrawAspect="Content" ObjectID="_1750278452" r:id="rId7"/>
        </w:object>
      </w:r>
      <w:r>
        <w:t xml:space="preserve"> Antennas and a receiver with </w:t>
      </w:r>
      <w:r w:rsidRPr="00C35CB4">
        <w:rPr>
          <w:position w:val="-10"/>
        </w:rPr>
        <w:object w:dxaOrig="392" w:dyaOrig="315" w14:anchorId="1213CF12">
          <v:shape id="_x0000_i1030" type="#_x0000_t75" style="width:19.4pt;height:15.7pt" o:ole="">
            <v:imagedata r:id="rId8" o:title=""/>
          </v:shape>
          <o:OLEObject Type="Embed" ProgID="Equation.AxMath" ShapeID="_x0000_i1030" DrawAspect="Content" ObjectID="_1750278453" r:id="rId9"/>
        </w:object>
      </w:r>
      <w:r>
        <w:t xml:space="preserve"> over frequency </w:t>
      </w:r>
      <w:r w:rsidRPr="00C35CB4">
        <w:rPr>
          <w:position w:val="-10"/>
        </w:rPr>
        <w:object w:dxaOrig="1714" w:dyaOrig="313" w14:anchorId="352EF3EE">
          <v:shape id="_x0000_i1035" type="#_x0000_t75" style="width:85.85pt;height:15.7pt" o:ole="">
            <v:imagedata r:id="rId10" o:title=""/>
          </v:shape>
          <o:OLEObject Type="Embed" ProgID="Equation.AxMath" ShapeID="_x0000_i1035" DrawAspect="Content" ObjectID="_1750278454" r:id="rId11"/>
        </w:object>
      </w:r>
      <w:r>
        <w:t xml:space="preserve"> and symbol </w:t>
      </w:r>
      <w:r w:rsidRPr="00C35CB4">
        <w:rPr>
          <w:position w:val="-10"/>
        </w:rPr>
        <w:object w:dxaOrig="1630" w:dyaOrig="313" w14:anchorId="2EB41EC0">
          <v:shape id="_x0000_i1038" type="#_x0000_t75" style="width:81.7pt;height:15.7pt" o:ole="">
            <v:imagedata r:id="rId12" o:title=""/>
          </v:shape>
          <o:OLEObject Type="Embed" ProgID="Equation.AxMath" ShapeID="_x0000_i1038" DrawAspect="Content" ObjectID="_1750278455" r:id="rId13"/>
        </w:object>
      </w:r>
      <w:r>
        <w:t xml:space="preserve"> can be </w:t>
      </w:r>
      <w:r w:rsidR="00020372">
        <w:t>approximated by:</w:t>
      </w:r>
    </w:p>
    <w:p w14:paraId="7E6EC1FB" w14:textId="2BA8875B" w:rsidR="00020372" w:rsidRDefault="00020372" w:rsidP="00020372">
      <w:pPr>
        <w:pStyle w:val="AMDisplayEquation"/>
        <w:rPr>
          <w:rFonts w:hint="eastAsia"/>
        </w:rPr>
      </w:pPr>
      <w:r>
        <w:tab/>
      </w:r>
      <w:r w:rsidRPr="00020372">
        <w:rPr>
          <w:position w:val="-28"/>
        </w:rPr>
        <w:object w:dxaOrig="3988" w:dyaOrig="667" w14:anchorId="7928A990">
          <v:shape id="_x0000_i1064" type="#_x0000_t75" style="width:199.4pt;height:33.25pt" o:ole="">
            <v:imagedata r:id="rId14" o:title=""/>
          </v:shape>
          <o:OLEObject Type="Embed" ProgID="Equation.AxMath" ShapeID="_x0000_i1064" DrawAspect="Content" ObjectID="_1750278456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80E5BFD" w14:textId="390A311D" w:rsidR="00020372" w:rsidRDefault="00020372" w:rsidP="00020372">
      <w:pPr>
        <w:ind w:firstLineChars="0" w:firstLine="0"/>
      </w:pPr>
      <w:r>
        <w:t xml:space="preserve">where </w:t>
      </w:r>
      <w:r w:rsidRPr="00020372">
        <w:rPr>
          <w:position w:val="-10"/>
        </w:rPr>
        <w:object w:dxaOrig="186" w:dyaOrig="313" w14:anchorId="3461004A">
          <v:shape id="_x0000_i1087" type="#_x0000_t75" style="width:9.25pt;height:15.7pt" o:ole="">
            <v:imagedata r:id="rId16" o:title=""/>
          </v:shape>
          <o:OLEObject Type="Embed" ProgID="Equation.AxMath" ShapeID="_x0000_i1087" DrawAspect="Content" ObjectID="_1750278457" r:id="rId17"/>
        </w:object>
      </w:r>
      <w:r>
        <w:t xml:space="preserve"> is the number of multipaths, </w:t>
      </w:r>
      <w:r w:rsidRPr="00020372">
        <w:rPr>
          <w:position w:val="-10"/>
        </w:rPr>
        <w:object w:dxaOrig="186" w:dyaOrig="313" w14:anchorId="2F630450">
          <v:shape id="_x0000_i1090" type="#_x0000_t75" style="width:9.25pt;height:15.7pt" o:ole="">
            <v:imagedata r:id="rId18" o:title=""/>
          </v:shape>
          <o:OLEObject Type="Embed" ProgID="Equation.AxMath" ShapeID="_x0000_i1090" DrawAspect="Content" ObjectID="_1750278458" r:id="rId19"/>
        </w:object>
      </w:r>
      <w:r>
        <w:t xml:space="preserve"> is the complex channel gain, </w:t>
      </w:r>
      <w:r w:rsidRPr="00020372">
        <w:rPr>
          <w:position w:val="-11"/>
        </w:rPr>
        <w:object w:dxaOrig="1285" w:dyaOrig="346" w14:anchorId="6BDA784F">
          <v:shape id="_x0000_i1093" type="#_x0000_t75" style="width:64.15pt;height:17.1pt" o:ole="">
            <v:imagedata r:id="rId20" o:title=""/>
          </v:shape>
          <o:OLEObject Type="Embed" ProgID="Equation.AxMath" ShapeID="_x0000_i1093" DrawAspect="Content" ObjectID="_1750278459" r:id="rId21"/>
        </w:object>
      </w:r>
      <w:r>
        <w:t xml:space="preserve"> is the Rx array response as a function of angle of arrive (AoA) </w:t>
      </w:r>
      <w:r w:rsidRPr="00020372">
        <w:rPr>
          <w:position w:val="-11"/>
        </w:rPr>
        <w:object w:dxaOrig="642" w:dyaOrig="329" w14:anchorId="3677B1AC">
          <v:shape id="_x0000_i1096" type="#_x0000_t75" style="width:32.3pt;height:16.6pt" o:ole="">
            <v:imagedata r:id="rId22" o:title=""/>
          </v:shape>
          <o:OLEObject Type="Embed" ProgID="Equation.AxMath" ShapeID="_x0000_i1096" DrawAspect="Content" ObjectID="_1750278460" r:id="rId23"/>
        </w:object>
      </w:r>
      <w:r>
        <w:t xml:space="preserve"> in azimuth and elevation, </w:t>
      </w:r>
      <w:r w:rsidRPr="00020372">
        <w:rPr>
          <w:position w:val="-11"/>
        </w:rPr>
        <w:object w:dxaOrig="1286" w:dyaOrig="346" w14:anchorId="72D865DB">
          <v:shape id="_x0000_i1099" type="#_x0000_t75" style="width:64.15pt;height:17.1pt" o:ole="">
            <v:imagedata r:id="rId24" o:title=""/>
          </v:shape>
          <o:OLEObject Type="Embed" ProgID="Equation.AxMath" ShapeID="_x0000_i1099" DrawAspect="Content" ObjectID="_1750278461" r:id="rId25"/>
        </w:object>
      </w:r>
      <w:r>
        <w:t xml:space="preserve"> is the Tx array response as a function of </w:t>
      </w:r>
      <w:r>
        <w:rPr>
          <w:rFonts w:hint="eastAsia"/>
        </w:rPr>
        <w:t>angle</w:t>
      </w:r>
      <w:r>
        <w:t xml:space="preserve"> of departure </w:t>
      </w:r>
      <w:r>
        <w:rPr>
          <w:rFonts w:hint="eastAsia"/>
        </w:rPr>
        <w:t>(</w:t>
      </w:r>
      <w:r>
        <w:t xml:space="preserve">AoD), </w:t>
      </w:r>
      <w:r w:rsidRPr="00020372">
        <w:rPr>
          <w:position w:val="-10"/>
        </w:rPr>
        <w:object w:dxaOrig="170" w:dyaOrig="313" w14:anchorId="4C6FE402">
          <v:shape id="_x0000_i1102" type="#_x0000_t75" style="width:8.3pt;height:15.7pt" o:ole="">
            <v:imagedata r:id="rId26" o:title=""/>
          </v:shape>
          <o:OLEObject Type="Embed" ProgID="Equation.AxMath" ShapeID="_x0000_i1102" DrawAspect="Content" ObjectID="_1750278462" r:id="rId27"/>
        </w:object>
      </w:r>
      <w:r>
        <w:t xml:space="preserve"> is the time of arrive (To</w:t>
      </w:r>
      <w:r>
        <w:rPr>
          <w:rFonts w:hint="eastAsia"/>
        </w:rPr>
        <w:t>A</w:t>
      </w:r>
      <w:r>
        <w:t xml:space="preserve">), </w:t>
      </w:r>
      <w:r w:rsidRPr="00020372">
        <w:rPr>
          <w:position w:val="-10"/>
        </w:rPr>
        <w:object w:dxaOrig="166" w:dyaOrig="313" w14:anchorId="5989B356">
          <v:shape id="_x0000_i1105" type="#_x0000_t75" style="width:8.3pt;height:15.7pt" o:ole="">
            <v:imagedata r:id="rId28" o:title=""/>
          </v:shape>
          <o:OLEObject Type="Embed" ProgID="Equation.AxMath" ShapeID="_x0000_i1105" DrawAspect="Content" ObjectID="_1750278463" r:id="rId29"/>
        </w:object>
      </w:r>
      <w:r>
        <w:t xml:space="preserve"> is the Doppler shift, and </w:t>
      </w:r>
      <w:r w:rsidRPr="00020372">
        <w:rPr>
          <w:position w:val="-10"/>
        </w:rPr>
        <w:object w:dxaOrig="278" w:dyaOrig="313" w14:anchorId="2BB576E0">
          <v:shape id="_x0000_i1108" type="#_x0000_t75" style="width:13.85pt;height:15.7pt" o:ole="">
            <v:imagedata r:id="rId30" o:title=""/>
          </v:shape>
          <o:OLEObject Type="Embed" ProgID="Equation.AxMath" ShapeID="_x0000_i1108" DrawAspect="Content" ObjectID="_1750278464" r:id="rId31"/>
        </w:object>
      </w:r>
      <w:r>
        <w:t xml:space="preserve"> is the symbol duration.</w:t>
      </w:r>
    </w:p>
    <w:p w14:paraId="0A3FD5B4" w14:textId="78A0021F" w:rsidR="002C29BC" w:rsidRDefault="002C29BC" w:rsidP="002C29BC">
      <w:pPr>
        <w:pStyle w:val="aa"/>
      </w:pPr>
      <w:r>
        <w:rPr>
          <w:rFonts w:hint="eastAsia"/>
        </w:rPr>
        <w:lastRenderedPageBreak/>
        <w:t>1</w:t>
      </w:r>
      <w:r>
        <w:t>.2.1</w:t>
      </w:r>
      <w:r>
        <w:rPr>
          <w:rFonts w:hint="eastAsia"/>
        </w:rPr>
        <w:t>.</w:t>
      </w:r>
      <w:r>
        <w:t xml:space="preserve">1 </w:t>
      </w:r>
      <w:r>
        <w:t>Signal</w:t>
      </w:r>
      <w:r>
        <w:t xml:space="preserve"> Model</w:t>
      </w:r>
    </w:p>
    <w:p w14:paraId="60F0C804" w14:textId="1B4C8451" w:rsidR="002C29BC" w:rsidRDefault="005D2E45" w:rsidP="005D2E45">
      <w:pPr>
        <w:ind w:firstLine="420"/>
      </w:pPr>
      <w:r w:rsidRPr="005D2E45">
        <w:t>The observation at the Rx is then of the form</w:t>
      </w:r>
      <w:r>
        <w:t>:</w:t>
      </w:r>
    </w:p>
    <w:p w14:paraId="0F0D28BA" w14:textId="42884D2C" w:rsidR="005D2E45" w:rsidRDefault="005D2E45" w:rsidP="005D2E45">
      <w:pPr>
        <w:pStyle w:val="AMDisplayEquation"/>
        <w:rPr>
          <w:rFonts w:hint="eastAsia"/>
        </w:rPr>
      </w:pPr>
      <w:r>
        <w:tab/>
      </w:r>
      <w:r w:rsidRPr="005D2E45">
        <w:rPr>
          <w:position w:val="-10"/>
        </w:rPr>
        <w:object w:dxaOrig="2342" w:dyaOrig="317" w14:anchorId="32F4C343">
          <v:shape id="_x0000_i1111" type="#_x0000_t75" style="width:117.25pt;height:15.7pt" o:ole="">
            <v:imagedata r:id="rId32" o:title=""/>
          </v:shape>
          <o:OLEObject Type="Embed" ProgID="Equation.AxMath" ShapeID="_x0000_i1111" DrawAspect="Content" ObjectID="_1750278465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EB9AA2F" w14:textId="1DC1FDA1" w:rsidR="005D2E45" w:rsidRDefault="005D2E45" w:rsidP="005D2E45">
      <w:pPr>
        <w:ind w:firstLineChars="0" w:firstLine="0"/>
        <w:rPr>
          <w:rFonts w:hint="eastAsia"/>
        </w:rPr>
      </w:pPr>
      <w:r>
        <w:t xml:space="preserve">where </w:t>
      </w:r>
      <w:r w:rsidRPr="005D2E45">
        <w:rPr>
          <w:position w:val="-11"/>
        </w:rPr>
        <w:object w:dxaOrig="1344" w:dyaOrig="346" w14:anchorId="5F02AEEC">
          <v:shape id="_x0000_i1114" type="#_x0000_t75" style="width:67.4pt;height:17.1pt" o:ole="">
            <v:imagedata r:id="rId34" o:title=""/>
          </v:shape>
          <o:OLEObject Type="Embed" ProgID="Equation.AxMath" ShapeID="_x0000_i1114" DrawAspect="Content" ObjectID="_1750278466" r:id="rId35"/>
        </w:object>
      </w:r>
      <w:r>
        <w:t xml:space="preserve"> is the orthonorm</w:t>
      </w:r>
      <w:r>
        <w:t>a</w:t>
      </w:r>
      <w:r>
        <w:t xml:space="preserve">l analog Rx combiner with </w:t>
      </w:r>
      <w:r w:rsidRPr="005D2E45">
        <w:rPr>
          <w:position w:val="-13"/>
        </w:rPr>
        <w:object w:dxaOrig="1352" w:dyaOrig="341" w14:anchorId="63D6E4FE">
          <v:shape id="_x0000_i1117" type="#_x0000_t75" style="width:67.4pt;height:17.1pt" o:ole="">
            <v:imagedata r:id="rId36" o:title=""/>
          </v:shape>
          <o:OLEObject Type="Embed" ProgID="Equation.AxMath" ShapeID="_x0000_i1117" DrawAspect="Content" ObjectID="_1750278467" r:id="rId37"/>
        </w:object>
      </w:r>
      <w:r>
        <w:t xml:space="preserve"> using </w:t>
      </w:r>
      <w:r w:rsidRPr="005D2E45">
        <w:rPr>
          <w:position w:val="-10"/>
        </w:rPr>
        <w:object w:dxaOrig="1028" w:dyaOrig="315" w14:anchorId="319495F4">
          <v:shape id="_x0000_i1120" type="#_x0000_t75" style="width:51.25pt;height:15.7pt" o:ole="">
            <v:imagedata r:id="rId38" o:title=""/>
          </v:shape>
          <o:OLEObject Type="Embed" ProgID="Equation.AxMath" ShapeID="_x0000_i1120" DrawAspect="Content" ObjectID="_1750278468" r:id="rId39"/>
        </w:object>
      </w:r>
      <w:r>
        <w:t xml:space="preserve"> RF chains, </w:t>
      </w:r>
      <w:r w:rsidRPr="005D2E45">
        <w:rPr>
          <w:position w:val="-10"/>
        </w:rPr>
        <w:object w:dxaOrig="357" w:dyaOrig="315" w14:anchorId="222A0466">
          <v:shape id="_x0000_i1123" type="#_x0000_t75" style="width:18pt;height:15.7pt" o:ole="">
            <v:imagedata r:id="rId40" o:title=""/>
          </v:shape>
          <o:OLEObject Type="Embed" ProgID="Equation.AxMath" ShapeID="_x0000_i1123" DrawAspect="Content" ObjectID="_1750278469" r:id="rId41"/>
        </w:object>
      </w:r>
      <w:r>
        <w:t xml:space="preserve"> is the </w:t>
      </w:r>
      <w:r w:rsidRPr="005D2E45">
        <w:rPr>
          <w:position w:val="-10"/>
        </w:rPr>
        <w:object w:dxaOrig="157" w:dyaOrig="313" w14:anchorId="35FFDA3B">
          <v:shape id="_x0000_i1126" type="#_x0000_t75" style="width:7.85pt;height:15.7pt" o:ole="">
            <v:imagedata r:id="rId42" o:title=""/>
          </v:shape>
          <o:OLEObject Type="Embed" ProgID="Equation.AxMath" ShapeID="_x0000_i1126" DrawAspect="Content" ObjectID="_1750278470" r:id="rId43"/>
        </w:object>
      </w:r>
      <w:r>
        <w:t xml:space="preserve">-th transmitted signal over the </w:t>
      </w:r>
      <w:r w:rsidRPr="005D2E45">
        <w:rPr>
          <w:position w:val="-10"/>
        </w:rPr>
        <w:object w:dxaOrig="173" w:dyaOrig="313" w14:anchorId="2A7CC201">
          <v:shape id="_x0000_i1129" type="#_x0000_t75" style="width:8.75pt;height:15.7pt" o:ole="">
            <v:imagedata r:id="rId44" o:title=""/>
          </v:shape>
          <o:OLEObject Type="Embed" ProgID="Equation.AxMath" ShapeID="_x0000_i1129" DrawAspect="Content" ObjectID="_1750278471" r:id="rId45"/>
        </w:object>
      </w:r>
      <w:r>
        <w:t xml:space="preserve">-th subcarriers with </w:t>
      </w:r>
      <w:r w:rsidRPr="005D2E45">
        <w:rPr>
          <w:position w:val="-11"/>
        </w:rPr>
        <w:object w:dxaOrig="1861" w:dyaOrig="329" w14:anchorId="58EA9DFE">
          <v:shape id="_x0000_i1132" type="#_x0000_t75" style="width:93.25pt;height:16.6pt" o:ole="">
            <v:imagedata r:id="rId46" o:title=""/>
          </v:shape>
          <o:OLEObject Type="Embed" ProgID="Equation.AxMath" ShapeID="_x0000_i1132" DrawAspect="Content" ObjectID="_1750278472" r:id="rId47"/>
        </w:object>
      </w:r>
      <w:r>
        <w:t xml:space="preserve"> of which </w:t>
      </w:r>
      <w:r w:rsidRPr="005D2E45">
        <w:rPr>
          <w:position w:val="-10"/>
        </w:rPr>
        <w:object w:dxaOrig="973" w:dyaOrig="313" w14:anchorId="221A6FCB">
          <v:shape id="_x0000_i1135" type="#_x0000_t75" style="width:48.45pt;height:15.7pt" o:ole="">
            <v:imagedata r:id="rId48" o:title=""/>
          </v:shape>
          <o:OLEObject Type="Embed" ProgID="Equation.AxMath" ShapeID="_x0000_i1135" DrawAspect="Content" ObjectID="_1750278473" r:id="rId49"/>
        </w:object>
      </w:r>
      <w:r>
        <w:t xml:space="preserve">, and </w:t>
      </w:r>
      <w:r w:rsidRPr="005D2E45">
        <w:rPr>
          <w:position w:val="-13"/>
        </w:rPr>
        <w:object w:dxaOrig="1953" w:dyaOrig="376" w14:anchorId="341E8B78">
          <v:shape id="_x0000_i1138" type="#_x0000_t75" style="width:97.85pt;height:18.9pt" o:ole="">
            <v:imagedata r:id="rId50" o:title=""/>
          </v:shape>
          <o:OLEObject Type="Embed" ProgID="Equation.AxMath" ShapeID="_x0000_i1138" DrawAspect="Content" ObjectID="_1750278474" r:id="rId51"/>
        </w:object>
      </w:r>
      <w:r>
        <w:t xml:space="preserve"> is the circular symmetric complex Gaussian random noise.</w:t>
      </w:r>
      <w:r w:rsidR="00C14441">
        <w:t xml:space="preserve"> H</w:t>
      </w:r>
      <w:r w:rsidR="00C14441">
        <w:rPr>
          <w:rFonts w:hint="eastAsia"/>
        </w:rPr>
        <w:t>ere</w:t>
      </w:r>
      <w:r w:rsidR="00C14441">
        <w:t xml:space="preserve"> </w:t>
      </w:r>
      <w:r w:rsidR="00C14441" w:rsidRPr="00C14441">
        <w:rPr>
          <w:position w:val="-10"/>
        </w:rPr>
        <w:object w:dxaOrig="311" w:dyaOrig="315" w14:anchorId="60095C88">
          <v:shape id="_x0000_i1141" type="#_x0000_t75" style="width:15.7pt;height:15.7pt" o:ole="">
            <v:imagedata r:id="rId52" o:title=""/>
          </v:shape>
          <o:OLEObject Type="Embed" ProgID="Equation.AxMath" ShapeID="_x0000_i1141" DrawAspect="Content" ObjectID="_1750278475" r:id="rId53"/>
        </w:object>
      </w:r>
      <w:r w:rsidR="00C14441">
        <w:t xml:space="preserve"> and </w:t>
      </w:r>
      <w:r w:rsidR="00C14441" w:rsidRPr="00C14441">
        <w:rPr>
          <w:position w:val="-10"/>
        </w:rPr>
        <w:object w:dxaOrig="293" w:dyaOrig="315" w14:anchorId="55E3A8EB">
          <v:shape id="_x0000_i1144" type="#_x0000_t75" style="width:14.75pt;height:15.7pt" o:ole="">
            <v:imagedata r:id="rId54" o:title=""/>
          </v:shape>
          <o:OLEObject Type="Embed" ProgID="Equation.AxMath" ShapeID="_x0000_i1144" DrawAspect="Content" ObjectID="_1750278476" r:id="rId55"/>
        </w:object>
      </w:r>
      <w:r w:rsidR="00C14441">
        <w:t xml:space="preserve"> denote the average transmit power </w:t>
      </w:r>
      <w:r w:rsidR="00AF6670">
        <w:t>and noise power spectral density, respectively.</w:t>
      </w:r>
    </w:p>
    <w:sectPr w:rsidR="005D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BA9"/>
    <w:multiLevelType w:val="hybridMultilevel"/>
    <w:tmpl w:val="F5AC8E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0A42FFA"/>
    <w:multiLevelType w:val="hybridMultilevel"/>
    <w:tmpl w:val="8A6CD504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num w:numId="1" w16cid:durableId="446701680">
    <w:abstractNumId w:val="0"/>
  </w:num>
  <w:num w:numId="2" w16cid:durableId="93509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E7"/>
    <w:rsid w:val="00020372"/>
    <w:rsid w:val="000A7CEA"/>
    <w:rsid w:val="001A28E7"/>
    <w:rsid w:val="002C29BC"/>
    <w:rsid w:val="00300E0D"/>
    <w:rsid w:val="003455D0"/>
    <w:rsid w:val="003D07E2"/>
    <w:rsid w:val="005D2E45"/>
    <w:rsid w:val="0067415F"/>
    <w:rsid w:val="00826616"/>
    <w:rsid w:val="0089010F"/>
    <w:rsid w:val="00AF6670"/>
    <w:rsid w:val="00B5699A"/>
    <w:rsid w:val="00BC5C5F"/>
    <w:rsid w:val="00C14441"/>
    <w:rsid w:val="00C35CB4"/>
    <w:rsid w:val="00C520CB"/>
    <w:rsid w:val="00C9513A"/>
    <w:rsid w:val="00D60CE2"/>
    <w:rsid w:val="00E414A8"/>
    <w:rsid w:val="00F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950"/>
  <w15:chartTrackingRefBased/>
  <w15:docId w15:val="{B95E8DA8-502E-48E8-BD6B-DDF31E8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4A8"/>
    <w:pPr>
      <w:ind w:firstLineChars="200" w:firstLine="200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link w:val="a4"/>
    <w:qFormat/>
    <w:rsid w:val="00C9513A"/>
    <w:pPr>
      <w:outlineLvl w:val="0"/>
    </w:pPr>
    <w:rPr>
      <w:rFonts w:ascii="Times New Roman" w:eastAsia="宋体" w:hAnsi="Times New Roman"/>
      <w:b/>
    </w:rPr>
  </w:style>
  <w:style w:type="paragraph" w:customStyle="1" w:styleId="a5">
    <w:name w:val="标题二"/>
    <w:link w:val="a6"/>
    <w:qFormat/>
    <w:rsid w:val="00C9513A"/>
    <w:pPr>
      <w:outlineLvl w:val="1"/>
    </w:pPr>
    <w:rPr>
      <w:rFonts w:ascii="Times New Roman" w:eastAsia="宋体" w:hAnsi="Times New Roman"/>
      <w:b/>
    </w:rPr>
  </w:style>
  <w:style w:type="character" w:customStyle="1" w:styleId="a4">
    <w:name w:val="标题一 字符"/>
    <w:basedOn w:val="a0"/>
    <w:link w:val="a3"/>
    <w:rsid w:val="00C9513A"/>
    <w:rPr>
      <w:rFonts w:ascii="Times New Roman" w:eastAsia="宋体" w:hAnsi="Times New Roman"/>
      <w:b/>
    </w:rPr>
  </w:style>
  <w:style w:type="paragraph" w:customStyle="1" w:styleId="a7">
    <w:name w:val="标题三"/>
    <w:link w:val="a8"/>
    <w:qFormat/>
    <w:rsid w:val="00C9513A"/>
    <w:pPr>
      <w:outlineLvl w:val="2"/>
    </w:pPr>
    <w:rPr>
      <w:rFonts w:ascii="Times New Roman" w:eastAsia="宋体" w:hAnsi="Times New Roman"/>
      <w:b/>
    </w:rPr>
  </w:style>
  <w:style w:type="character" w:customStyle="1" w:styleId="a6">
    <w:name w:val="标题二 字符"/>
    <w:basedOn w:val="a0"/>
    <w:link w:val="a5"/>
    <w:rsid w:val="00C9513A"/>
    <w:rPr>
      <w:rFonts w:ascii="Times New Roman" w:eastAsia="宋体" w:hAnsi="Times New Roman"/>
      <w:b/>
    </w:rPr>
  </w:style>
  <w:style w:type="paragraph" w:styleId="a9">
    <w:name w:val="List Paragraph"/>
    <w:basedOn w:val="a"/>
    <w:uiPriority w:val="34"/>
    <w:qFormat/>
    <w:rsid w:val="00E414A8"/>
    <w:pPr>
      <w:ind w:firstLine="420"/>
    </w:pPr>
  </w:style>
  <w:style w:type="character" w:customStyle="1" w:styleId="a8">
    <w:name w:val="标题三 字符"/>
    <w:basedOn w:val="a0"/>
    <w:link w:val="a7"/>
    <w:rsid w:val="00C9513A"/>
    <w:rPr>
      <w:rFonts w:ascii="Times New Roman" w:eastAsia="宋体" w:hAnsi="Times New Roman"/>
      <w:b/>
    </w:rPr>
  </w:style>
  <w:style w:type="paragraph" w:customStyle="1" w:styleId="aa">
    <w:name w:val="标题四"/>
    <w:qFormat/>
    <w:rsid w:val="00300E0D"/>
    <w:pPr>
      <w:outlineLvl w:val="3"/>
    </w:pPr>
    <w:rPr>
      <w:rFonts w:ascii="Times New Roman" w:eastAsia="宋体" w:hAnsi="Times New Roman"/>
      <w:b/>
    </w:rPr>
  </w:style>
  <w:style w:type="character" w:customStyle="1" w:styleId="AMEquationSection">
    <w:name w:val="AMEquationSection"/>
    <w:basedOn w:val="a0"/>
    <w:rsid w:val="00020372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020372"/>
    <w:pPr>
      <w:tabs>
        <w:tab w:val="center" w:pos="4160"/>
        <w:tab w:val="right" w:pos="8300"/>
      </w:tabs>
      <w:ind w:firstLine="420"/>
    </w:pPr>
  </w:style>
  <w:style w:type="character" w:customStyle="1" w:styleId="AMDisplayEquation0">
    <w:name w:val="AMDisplayEquation 字符"/>
    <w:basedOn w:val="a0"/>
    <w:link w:val="AMDisplayEquation"/>
    <w:rsid w:val="0002037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19</cp:revision>
  <dcterms:created xsi:type="dcterms:W3CDTF">2023-07-07T12:19:00Z</dcterms:created>
  <dcterms:modified xsi:type="dcterms:W3CDTF">2023-07-07T15:40:00Z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(#E1)</vt:lpwstr>
  </property>
  <property fmtid="{D5CDD505-2E9C-101B-9397-08002B2CF9AE}" pid="5" name="AMDeferFieldUpdate">
    <vt:lpwstr>1</vt:lpwstr>
  </property>
</Properties>
</file>