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№1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Вертикальная планировка участка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Механизированная вертикальная планировка участка. Удален почвенно-растительный 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трактор, шанцевый инструмент,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«05»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«05»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Разработка котлована под АМС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№2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Разработка котлована под АМС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Разработка котлована под АМС согласно РП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трактор, шанцевый инструмент,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«06»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«06»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Механическая трамбовка дна котлована 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№3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Механическая трамбовка дна котлована 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Механическая трамбовка дна котлована 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механическая трамбовка,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«05»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«05»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Устройство геоткани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№4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Устройство геоткани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Устройство геоткани согласно РП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геоткань,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«06»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«06»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Послойная отсыпка и трамбование дна котлована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№5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Послойная отсыпка и трамбование дна котлована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Послойная отсыпка и трамбование дна котлована согласно РП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щебень, механическая трамбовка,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«07»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«07»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Устройство очага заземления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№6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Устройство очага заземления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Очаг заземления выполнен при помощи вертикальных заземлителей -электродов из уголков 50*50*5мм длиной 2м. Электроды забиты в грунт с отметкой верхнего конца электрода - 0,7 м от поверхности земли. Вертикальные заземлители соединены между собой горизонтальными заземлителями - соединительной шиной из стальной полосы 4x40 мм. Стальная полоса проложить в земляной траншее на глубине - 0,3 м от поверхности земли.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шанцевый инструмент,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«07»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«07»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Вертикальная планировка участка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АКТ ОСВИДЕТЕЛЬСТВОВАНИЯ СКРЫТЫХ РАБОТ №7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Вертикальная планировка участка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 xml:space="preserve"/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 xml:space="preserve"/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 xml:space="preserve"/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 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Технический надзор 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 xml:space="preserve"/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 xml:space="preserve">Вертикальная планировка участка, отсыпка щебенкой согласно РП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/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щебень, механическая трамбовка, нивелир, мерная рейка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«08» ноябрь 2023г.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 xml:space="preserve">«08» ноябрь 2023г.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Установка ФБС блоков и ЦМ контейнера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/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надзор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 xml:space="preserve"/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