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footerReference r:id="rId3"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5"/>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6"/>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7"/>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9"/>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La funcion de los comandos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0"/>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0"/>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1"/>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2"/>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3"/>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3"/>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4"/>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5"/>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94"/>
        <w:bidi w:val="0"/>
        <w:rPr>
          <w:rFonts w:hint="default"/>
        </w:rPr>
      </w:pPr>
    </w:p>
    <w:p>
      <w:pPr>
        <w:pStyle w:val="94"/>
        <w:bidi w:val="0"/>
        <w:rPr>
          <w:rFonts w:hint="default"/>
          <w:lang w:val="es-ES"/>
        </w:rPr>
      </w:pP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Con el codigo mostrado, se pretende actualizar el primer ejercicio realizado, poniendo un servidor de nombres que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b/>
          <w:bCs/>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6"/>
                    <a:stretch>
                      <a:fillRect/>
                    </a:stretch>
                  </pic:blipFill>
                  <pic:spPr>
                    <a:xfrm>
                      <a:off x="0" y="0"/>
                      <a:ext cx="2743835" cy="890905"/>
                    </a:xfrm>
                    <a:prstGeom prst="rect">
                      <a:avLst/>
                    </a:prstGeom>
                    <a:noFill/>
                    <a:ln>
                      <a:noFill/>
                    </a:ln>
                  </pic:spPr>
                </pic:pic>
              </a:graphicData>
            </a:graphic>
          </wp:inline>
        </w:drawing>
      </w: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 una extensión del ejercicio anterior que implementa la misma estructura. Esta pensada para ver que es posible llamar múltiples veces a un objeto registrado, para hacer las diferentes acciones mencionadas.</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7"/>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8"/>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19"/>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numId w:val="0"/>
        </w:numPr>
        <w:jc w:val="left"/>
        <w:rPr>
          <w:rFonts w:hint="default"/>
          <w:b w:val="0"/>
          <w:bCs w:val="0"/>
          <w:lang w:val="es-ES"/>
        </w:rPr>
      </w:pPr>
    </w:p>
    <w:p>
      <w:pPr>
        <w:numPr>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Este es un ejercicio se intenta trabajar la conexion de un cliente a multiples Stubs (servidores) con diferentes implementaciones. para hacer acciones coordinadas que permitan controlar el coche. Tambien sirve para trabajar correctamente la conexiones de cliente y servidor.  La tabla de conexiones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b w:val="0"/>
                <w:bCs w:val="0"/>
                <w:vertAlign w:val="baseline"/>
                <w:lang w:val="es-ES"/>
              </w:rPr>
            </w:pPr>
            <w:r>
              <w:rPr>
                <w:rFonts w:hint="default"/>
                <w:b w:val="0"/>
                <w:bCs w:val="0"/>
                <w:vertAlign w:val="baseline"/>
                <w:lang w:val="es-ES"/>
              </w:rPr>
              <w:t>ELEMENTO</w:t>
            </w:r>
          </w:p>
        </w:tc>
        <w:tc>
          <w:tcPr>
            <w:tcW w:w="2841" w:type="dxa"/>
          </w:tcPr>
          <w:p>
            <w:pPr>
              <w:jc w:val="center"/>
              <w:rPr>
                <w:rFonts w:hint="default"/>
                <w:b w:val="0"/>
                <w:bCs w:val="0"/>
                <w:vertAlign w:val="baseline"/>
                <w:lang w:val="es-ES"/>
              </w:rPr>
            </w:pPr>
            <w:r>
              <w:rPr>
                <w:rFonts w:hint="default"/>
                <w:b w:val="0"/>
                <w:bCs w:val="0"/>
                <w:vertAlign w:val="baseline"/>
                <w:lang w:val="es-ES"/>
              </w:rPr>
              <w:t>PUERTO</w:t>
            </w:r>
          </w:p>
        </w:tc>
        <w:tc>
          <w:tcPr>
            <w:tcW w:w="2841" w:type="dxa"/>
          </w:tcPr>
          <w:p>
            <w:pPr>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jc w:val="center"/>
              <w:rPr>
                <w:rFonts w:hint="default"/>
                <w:lang w:val="es-ES"/>
              </w:rPr>
            </w:pPr>
            <w:r>
              <w:rPr>
                <w:rFonts w:hint="default"/>
                <w:lang w:val="es-ES"/>
              </w:rPr>
              <w:t>R1</w:t>
            </w:r>
          </w:p>
        </w:tc>
        <w:tc>
          <w:tcPr>
            <w:tcW w:w="2841" w:type="dxa"/>
          </w:tcPr>
          <w:p>
            <w:pPr>
              <w:bidi w:val="0"/>
              <w:jc w:val="center"/>
              <w:rPr>
                <w:rFonts w:hint="default"/>
                <w:lang w:val="es-ES"/>
              </w:rPr>
            </w:pPr>
            <w:r>
              <w:rPr>
                <w:rFonts w:hint="default"/>
              </w:rPr>
              <w:t>1091</w:t>
            </w:r>
          </w:p>
        </w:tc>
        <w:tc>
          <w:tcPr>
            <w:tcW w:w="2841" w:type="dxa"/>
          </w:tcPr>
          <w:p>
            <w:pPr>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jc w:val="center"/>
              <w:rPr>
                <w:rFonts w:hint="default"/>
                <w:lang w:val="es-ES"/>
              </w:rPr>
            </w:pPr>
            <w:r>
              <w:rPr>
                <w:rFonts w:hint="default"/>
                <w:lang w:val="es-ES"/>
              </w:rPr>
              <w:t>R2</w:t>
            </w:r>
          </w:p>
        </w:tc>
        <w:tc>
          <w:tcPr>
            <w:tcW w:w="2841" w:type="dxa"/>
          </w:tcPr>
          <w:p>
            <w:pPr>
              <w:bidi w:val="0"/>
              <w:jc w:val="center"/>
              <w:rPr>
                <w:rFonts w:hint="default"/>
                <w:lang w:val="es-ES"/>
              </w:rPr>
            </w:pPr>
            <w:r>
              <w:rPr>
                <w:rFonts w:hint="default"/>
              </w:rPr>
              <w:t>1092</w:t>
            </w:r>
          </w:p>
        </w:tc>
        <w:tc>
          <w:tcPr>
            <w:tcW w:w="2841" w:type="dxa"/>
          </w:tcPr>
          <w:p>
            <w:pPr>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jc w:val="center"/>
              <w:rPr>
                <w:rFonts w:hint="default"/>
                <w:lang w:val="es-ES"/>
              </w:rPr>
            </w:pPr>
            <w:r>
              <w:rPr>
                <w:rFonts w:hint="default"/>
                <w:lang w:val="es-ES"/>
              </w:rPr>
              <w:t>R3</w:t>
            </w:r>
          </w:p>
        </w:tc>
        <w:tc>
          <w:tcPr>
            <w:tcW w:w="2841" w:type="dxa"/>
          </w:tcPr>
          <w:p>
            <w:pPr>
              <w:bidi w:val="0"/>
              <w:jc w:val="center"/>
              <w:rPr>
                <w:rFonts w:hint="default"/>
                <w:lang w:val="es-ES"/>
              </w:rPr>
            </w:pPr>
            <w:r>
              <w:rPr>
                <w:rFonts w:hint="default"/>
              </w:rPr>
              <w:t>1093</w:t>
            </w:r>
          </w:p>
        </w:tc>
        <w:tc>
          <w:tcPr>
            <w:tcW w:w="2841" w:type="dxa"/>
          </w:tcPr>
          <w:p>
            <w:pPr>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jc w:val="center"/>
              <w:rPr>
                <w:rFonts w:hint="default"/>
                <w:lang w:val="es-ES"/>
              </w:rPr>
            </w:pPr>
            <w:r>
              <w:rPr>
                <w:rFonts w:hint="default"/>
                <w:lang w:val="es-ES"/>
              </w:rPr>
              <w:t>R4</w:t>
            </w:r>
          </w:p>
        </w:tc>
        <w:tc>
          <w:tcPr>
            <w:tcW w:w="2841" w:type="dxa"/>
          </w:tcPr>
          <w:p>
            <w:pPr>
              <w:bidi w:val="0"/>
              <w:jc w:val="center"/>
              <w:rPr>
                <w:rFonts w:hint="default"/>
                <w:lang w:val="es-ES"/>
              </w:rPr>
            </w:pPr>
            <w:r>
              <w:rPr>
                <w:rFonts w:hint="default"/>
              </w:rPr>
              <w:t>1094</w:t>
            </w:r>
          </w:p>
        </w:tc>
        <w:tc>
          <w:tcPr>
            <w:tcW w:w="2841" w:type="dxa"/>
          </w:tcPr>
          <w:p>
            <w:pPr>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bidi w:val="0"/>
              <w:jc w:val="center"/>
              <w:rPr>
                <w:rFonts w:hint="default"/>
                <w:lang w:val="es-ES"/>
              </w:rPr>
            </w:pPr>
            <w:r>
              <w:rPr>
                <w:rFonts w:hint="default"/>
                <w:lang w:val="es-ES"/>
              </w:rPr>
              <w:t>Bateria</w:t>
            </w:r>
          </w:p>
        </w:tc>
        <w:tc>
          <w:tcPr>
            <w:tcW w:w="2841" w:type="dxa"/>
          </w:tcPr>
          <w:p>
            <w:pPr>
              <w:bidi w:val="0"/>
              <w:jc w:val="center"/>
              <w:rPr>
                <w:rFonts w:hint="default"/>
                <w:lang w:val="es-ES"/>
              </w:rPr>
            </w:pPr>
            <w:r>
              <w:rPr>
                <w:rFonts w:hint="default"/>
              </w:rPr>
              <w:t>1095</w:t>
            </w:r>
          </w:p>
        </w:tc>
        <w:tc>
          <w:tcPr>
            <w:tcW w:w="2841" w:type="dxa"/>
          </w:tcPr>
          <w:p>
            <w:pPr>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rPr>
      </w:pPr>
      <w:r>
        <w:rPr>
          <w:rFonts w:hint="default"/>
        </w:rPr>
        <w:t>cada puerto solo puede ser usado por 1 proceso a la vez.</w:t>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0"/>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1"/>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2"/>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3"/>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creado el objeto Saludador y este se transfiere directamente al servidor para ejecutar el método.</w:t>
      </w:r>
    </w:p>
    <w:p>
      <w:pPr>
        <w:bidi w:val="0"/>
        <w:rPr>
          <w:rFonts w:hint="default"/>
          <w:lang w:val="es-ES"/>
        </w:rPr>
      </w:pPr>
      <w:r>
        <w:rPr>
          <w:rFonts w:hint="default"/>
          <w:lang w:val="es-ES"/>
        </w:rPr>
        <w:t>Como el objeto Saludador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4"/>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5"/>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si es valida, diga que es valida y enseñe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 xml:space="preserve">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bidi w:val="0"/>
        <w:rPr>
          <w:rFonts w:hint="default"/>
          <w:lang w:val="es-ES"/>
        </w:rPr>
      </w:pPr>
      <w:r>
        <w:rPr>
          <w:rFonts w:hint="default"/>
          <w:lang w:val="es-ES"/>
        </w:rPr>
        <w:t>Ademas el String que se le pasa no hace falta serializarlo, debido a que la clase String ya implementa Serializable de fabrica.</w:t>
      </w: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6"/>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7"/>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caso es un ejemplo donde se mandan y se reciben objetos. Pero al ser estos objetos ( el List como el Double) de java, ya son elementos Serializables no hace falta implementarlo.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8"/>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al servidor se le pasa unicamente el contenido debido a que el objeto File de java pese a ser serializable, no es conveniente hacer  uso de el durante la transferencia, debido a que File solo es una representacion del pathName del archivo en cuestion en la maquina de origen, no de su contenido. Y en un servidor remoto no es posible manipular el archivo del origen desde el servidor, debido a que al cambiar de maquina se pierde el acceso a el fichero original. Por eso es mejor pasar su contenido.</w:t>
      </w:r>
    </w:p>
    <w:p>
      <w:pPr>
        <w:rPr>
          <w:rFonts w:hint="default"/>
          <w:b/>
          <w:bCs/>
          <w:lang w:val="es-ES"/>
        </w:rPr>
      </w:pPr>
    </w:p>
    <w:p>
      <w:pPr>
        <w:rPr>
          <w:rFonts w:hint="default"/>
          <w:b w:val="0"/>
          <w:bCs w:val="0"/>
          <w:lang w:val="es-ES"/>
        </w:rPr>
      </w:pPr>
      <w:r>
        <w:rPr>
          <w:rFonts w:hint="default"/>
          <w:b w:val="0"/>
          <w:bCs w:val="0"/>
          <w:lang w:val="es-ES"/>
        </w:rPr>
        <w:t>Para la transferencia se ha pasado el contenido del mensaje a bytes para poder transportarlo directamente.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29"/>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0"/>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los programas afectados por la norma. </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r>
        <w:rPr>
          <w:rFonts w:hint="default"/>
          <w:lang w:val="es-ES"/>
        </w:rPr>
        <w:t xml:space="preserve">La </w:t>
      </w:r>
      <w:r>
        <w:rPr>
          <w:rFonts w:hint="default"/>
        </w:rPr>
        <w:t>aplicación</w:t>
      </w:r>
      <w:r>
        <w:rPr>
          <w:rFonts w:hint="default"/>
          <w:lang w:val="es-ES"/>
        </w:rPr>
        <w:t xml:space="preserve"> de esta propiedad sera importante en el  siguiente tema.</w:t>
      </w:r>
    </w:p>
    <w:p>
      <w:pPr>
        <w:rPr>
          <w:rFonts w:hint="default"/>
          <w:lang w:val="es-ES"/>
        </w:rPr>
      </w:pPr>
    </w:p>
    <w:p>
      <w:pPr>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1"/>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rPr>
      </w:pPr>
      <w:bookmarkStart w:id="2" w:name="N106A1"/>
      <w:bookmarkEnd w:id="2"/>
      <w:bookmarkStart w:id="3" w:name="Usos+adicionales+del+codebase+en+RMI"/>
      <w:bookmarkEnd w:id="3"/>
      <w:bookmarkStart w:id="4" w:name="Codebase+y+seguridad"/>
      <w:bookmarkEnd w:id="4"/>
      <w:bookmarkStart w:id="5" w:name="N1068E"/>
      <w:bookmarkEnd w:id="5"/>
    </w:p>
    <w:p>
      <w:pPr>
        <w:pStyle w:val="5"/>
        <w:bidi w:val="0"/>
        <w:rPr>
          <w:rFonts w:hint="default"/>
        </w:rPr>
      </w:pPr>
      <w:r>
        <w:rPr>
          <w:rFonts w:hint="default"/>
        </w:rPr>
        <w:t>Usos adicionales del codebase en RMI</w:t>
      </w:r>
    </w:p>
    <w:p>
      <w:pPr>
        <w:bidi w:val="0"/>
        <w:rPr>
          <w:rFonts w:hint="default"/>
        </w:rPr>
      </w:pPr>
      <w:r>
        <w:rPr>
          <w:rFonts w:hint="default"/>
        </w:rPr>
        <w:t>Además de utilizar el codebase para descargar en los clientes los stubs y sus clases asociadas, la propiedad java.rmi.server.codebase puede utilizarse para especificar una ubicación desde la cual cualquier clase puede ser descargada, no solamente los stubs.</w:t>
      </w:r>
    </w:p>
    <w:p>
      <w:pPr>
        <w:bidi w:val="0"/>
        <w:rPr>
          <w:rFonts w:hint="default"/>
        </w:rPr>
      </w:pPr>
    </w:p>
    <w:p>
      <w:pPr>
        <w:bidi w:val="0"/>
        <w:rPr>
          <w:rFonts w:hint="default"/>
        </w:rPr>
      </w:pPr>
      <w:r>
        <w:rPr>
          <w:rFonts w:hint="default"/>
        </w:rPr>
        <w:t>Cuando un cliente realiza una llamada a un objeto remoto, la llamada al método puede o no aceptar argumentos. Hay tres casos distintos que pueden darse, según el tipo de datos de los argumentos del método remoto:</w:t>
      </w:r>
    </w:p>
    <w:p>
      <w:pPr>
        <w:bidi w:val="0"/>
        <w:rPr>
          <w:rFonts w:hint="default"/>
        </w:rPr>
      </w:pPr>
      <w:r>
        <w:rPr>
          <w:rFonts w:hint="default"/>
        </w:rPr>
        <w:t>Caso 1. Todos los parámetros del método (y valores de retorno) son datos primitivos, de forma que el objeto remoto sabe cómo interpretarlos. Aquí no hay necesidad de comprobar el CLASSPATH ni el codebase.</w:t>
      </w:r>
    </w:p>
    <w:p>
      <w:pPr>
        <w:bidi w:val="0"/>
        <w:rPr>
          <w:rFonts w:hint="default"/>
        </w:rPr>
      </w:pPr>
      <w:r>
        <w:rPr>
          <w:rFonts w:hint="default"/>
        </w:rPr>
        <w:t>Caso 2. Al menos un parámetro del método o valor de retorno es un objeto para el que el objeto remoto puede encontrar su definición de clase localmente en su CLASSPATH.</w:t>
      </w:r>
    </w:p>
    <w:p>
      <w:pPr>
        <w:bidi w:val="0"/>
        <w:rPr>
          <w:rFonts w:hint="default"/>
        </w:rPr>
      </w:pPr>
      <w:r>
        <w:rPr>
          <w:rFonts w:hint="default"/>
        </w:rPr>
        <w:t>Caso 3. El método remoto recibe una instancia de un objeto que no puede ser encontrado por el objeto remoto de forma local en su CLASSPATH. Este tipo de llamada se ilustra en la Figura 1.8 como el paso 6. La clase del objeto enviado por el cliente será un subtipo del tipo declarado como parámetro. Un subtipo puede ser: (a) una implementación de la interfaz declarada como el tipo de parámetro del método (o valor de retorno); (b) una subclase de la clase declarada como tipo del parámetro del método (o valor de retorno).</w:t>
      </w:r>
    </w:p>
    <w:p>
      <w:pPr>
        <w:bidi w:val="0"/>
        <w:rPr>
          <w:rFonts w:hint="default"/>
        </w:rPr>
      </w:pPr>
    </w:p>
    <w:p>
      <w:pPr>
        <w:bidi w:val="0"/>
        <w:rPr>
          <w:rFonts w:hint="default"/>
        </w:rPr>
      </w:pPr>
      <w:r>
        <w:rPr>
          <w:rFonts w:hint="default"/>
        </w:rPr>
        <w:drawing>
          <wp:inline distT="0" distB="0" distL="114300" distR="114300">
            <wp:extent cx="4410075" cy="1905000"/>
            <wp:effectExtent l="0" t="0" r="9525" b="0"/>
            <wp:docPr id="25" name="Imagen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descr="IMG_257"/>
                    <pic:cNvPicPr>
                      <a:picLocks noChangeAspect="1"/>
                    </pic:cNvPicPr>
                  </pic:nvPicPr>
                  <pic:blipFill>
                    <a:blip r:embed="rId32"/>
                    <a:stretch>
                      <a:fillRect/>
                    </a:stretch>
                  </pic:blipFill>
                  <pic:spPr>
                    <a:xfrm>
                      <a:off x="0" y="0"/>
                      <a:ext cx="4410075" cy="1905000"/>
                    </a:xfrm>
                    <a:prstGeom prst="rect">
                      <a:avLst/>
                    </a:prstGeom>
                    <a:noFill/>
                    <a:ln w="9525">
                      <a:noFill/>
                    </a:ln>
                  </pic:spPr>
                </pic:pic>
              </a:graphicData>
            </a:graphic>
          </wp:inline>
        </w:drawing>
      </w:r>
    </w:p>
    <w:p>
      <w:pPr>
        <w:bidi w:val="0"/>
        <w:rPr>
          <w:rFonts w:hint="default"/>
        </w:rPr>
      </w:pPr>
      <w:r>
        <w:rPr>
          <w:rFonts w:hint="default"/>
        </w:rPr>
        <w:t>.</w:t>
      </w:r>
    </w:p>
    <w:p>
      <w:pPr>
        <w:bidi w:val="0"/>
        <w:rPr>
          <w:rFonts w:hint="default"/>
          <w:lang w:val="es-ES"/>
        </w:rPr>
      </w:pPr>
    </w:p>
    <w:p>
      <w:pPr>
        <w:bidi w:val="0"/>
        <w:rPr>
          <w:rFonts w:hint="default"/>
          <w:lang w:val="es-ES"/>
        </w:rPr>
      </w:pPr>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financieros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 sin tocar el ComputeEngine (servidor), haz que los clientes puedan calcular lo siguiente:</w:t>
      </w:r>
    </w:p>
    <w:p>
      <w:pPr>
        <w:bidi w:val="0"/>
        <w:rPr>
          <w:rFonts w:hint="default"/>
          <w:lang w:val="es-ES"/>
        </w:rPr>
      </w:pPr>
    </w:p>
    <w:p>
      <w:pPr>
        <w:bidi w:val="0"/>
        <w:rPr>
          <w:rFonts w:hint="default"/>
          <w:lang w:val="es-ES"/>
        </w:rPr>
      </w:pPr>
    </w:p>
    <w:p>
      <w:pPr>
        <w:bidi w:val="0"/>
        <w:rPr>
          <w:rFonts w:hint="default"/>
          <w:lang w:val="es-ES"/>
        </w:rPr>
      </w:pP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m:r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m:r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m:r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hasi ver que sin hacer cambios es posible usar el servidor.</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870960" cy="1043940"/>
            <wp:effectExtent l="0" t="0" r="0" b="762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3"/>
                    <a:stretch>
                      <a:fillRect/>
                    </a:stretch>
                  </pic:blipFill>
                  <pic:spPr>
                    <a:xfrm>
                      <a:off x="0" y="0"/>
                      <a:ext cx="3870960" cy="104394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4"/>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5"/>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bookmarkStart w:id="6" w:name="_GoBack"/>
      <w:bookmarkEnd w:id="6"/>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E260E6"/>
    <w:rsid w:val="0B4E5E87"/>
    <w:rsid w:val="0C655C90"/>
    <w:rsid w:val="0E3D5D2A"/>
    <w:rsid w:val="0F735BF1"/>
    <w:rsid w:val="0FA4722F"/>
    <w:rsid w:val="0FE752CC"/>
    <w:rsid w:val="116B3C5F"/>
    <w:rsid w:val="11E26CF3"/>
    <w:rsid w:val="137E6912"/>
    <w:rsid w:val="15AC7766"/>
    <w:rsid w:val="17CB120E"/>
    <w:rsid w:val="17CC6E12"/>
    <w:rsid w:val="184C5231"/>
    <w:rsid w:val="18BC599B"/>
    <w:rsid w:val="19457793"/>
    <w:rsid w:val="1991739F"/>
    <w:rsid w:val="19A25F5F"/>
    <w:rsid w:val="1B385BF6"/>
    <w:rsid w:val="1C0C0F5F"/>
    <w:rsid w:val="1C2347C4"/>
    <w:rsid w:val="1C567EE4"/>
    <w:rsid w:val="1D370E31"/>
    <w:rsid w:val="1D8976E5"/>
    <w:rsid w:val="1E867014"/>
    <w:rsid w:val="1EE36909"/>
    <w:rsid w:val="1F9D0C7D"/>
    <w:rsid w:val="209A7B8A"/>
    <w:rsid w:val="21BD2A55"/>
    <w:rsid w:val="21FA4F10"/>
    <w:rsid w:val="2231313E"/>
    <w:rsid w:val="22A43D5E"/>
    <w:rsid w:val="237B0B11"/>
    <w:rsid w:val="245F7983"/>
    <w:rsid w:val="291F0B6B"/>
    <w:rsid w:val="293C1219"/>
    <w:rsid w:val="2A9278C6"/>
    <w:rsid w:val="2B104557"/>
    <w:rsid w:val="2B687F60"/>
    <w:rsid w:val="2BC111B6"/>
    <w:rsid w:val="2C622E1D"/>
    <w:rsid w:val="2C7E421C"/>
    <w:rsid w:val="2D760CFF"/>
    <w:rsid w:val="306C3DFF"/>
    <w:rsid w:val="30BB09B0"/>
    <w:rsid w:val="321E77E6"/>
    <w:rsid w:val="328115C0"/>
    <w:rsid w:val="33823728"/>
    <w:rsid w:val="34636514"/>
    <w:rsid w:val="34E52F23"/>
    <w:rsid w:val="35251F39"/>
    <w:rsid w:val="35A03F05"/>
    <w:rsid w:val="35A34EB8"/>
    <w:rsid w:val="368B6281"/>
    <w:rsid w:val="374C2700"/>
    <w:rsid w:val="39661726"/>
    <w:rsid w:val="39751AB9"/>
    <w:rsid w:val="39AE1450"/>
    <w:rsid w:val="3A045513"/>
    <w:rsid w:val="3BBD6377"/>
    <w:rsid w:val="3CD86007"/>
    <w:rsid w:val="3CE75DFD"/>
    <w:rsid w:val="3E0C5604"/>
    <w:rsid w:val="3F9664B9"/>
    <w:rsid w:val="407B4AEB"/>
    <w:rsid w:val="412841FF"/>
    <w:rsid w:val="417F4CE2"/>
    <w:rsid w:val="41BE54EC"/>
    <w:rsid w:val="43B43B06"/>
    <w:rsid w:val="440E1469"/>
    <w:rsid w:val="44605B06"/>
    <w:rsid w:val="45B47BFC"/>
    <w:rsid w:val="46AD785C"/>
    <w:rsid w:val="46DB236F"/>
    <w:rsid w:val="47485522"/>
    <w:rsid w:val="48A01936"/>
    <w:rsid w:val="49E30F40"/>
    <w:rsid w:val="4ACF23F1"/>
    <w:rsid w:val="4B4B4017"/>
    <w:rsid w:val="4CB23EB6"/>
    <w:rsid w:val="4DE30212"/>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7794C0C"/>
    <w:rsid w:val="67B71040"/>
    <w:rsid w:val="68662111"/>
    <w:rsid w:val="68B74A15"/>
    <w:rsid w:val="6A9476F7"/>
    <w:rsid w:val="6B4913A3"/>
    <w:rsid w:val="6C7227EB"/>
    <w:rsid w:val="6DAC6569"/>
    <w:rsid w:val="6E315BD0"/>
    <w:rsid w:val="6E9C573F"/>
    <w:rsid w:val="6ECB3ED6"/>
    <w:rsid w:val="6F9E78D9"/>
    <w:rsid w:val="73214465"/>
    <w:rsid w:val="74252D60"/>
    <w:rsid w:val="752513ED"/>
    <w:rsid w:val="755A25BE"/>
    <w:rsid w:val="784B52C6"/>
    <w:rsid w:val="795124C5"/>
    <w:rsid w:val="79CC6228"/>
    <w:rsid w:val="7AD70DE5"/>
    <w:rsid w:val="7BAF1346"/>
    <w:rsid w:val="7C94724B"/>
    <w:rsid w:val="7CA12D03"/>
    <w:rsid w:val="7D012C11"/>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GIF"/><Relationship Id="rId31" Type="http://schemas.openxmlformats.org/officeDocument/2006/relationships/image" Target="media/image27.GIF"/><Relationship Id="rId30" Type="http://schemas.openxmlformats.org/officeDocument/2006/relationships/image" Target="media/image26.GIF"/><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2023-05-09T09:06:52Z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