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raiz de donde esta la estructura de carpetas  (que ha sido sacada del bin del proyecto, separando la ejecucion del cliente y el servidor, en 2 carpetas separadas. Que para la ejecucion remota solo es necesario llevarlas a difrerentes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numId w:val="0"/>
        </w:numPr>
        <w:tabs>
          <w:tab w:val="left" w:pos="420"/>
        </w:tabs>
        <w:bidi w:val="0"/>
        <w:jc w:val="left"/>
        <w:rPr>
          <w:rFonts w:hint="default"/>
          <w:lang w:val="es-ES"/>
        </w:rPr>
      </w:pPr>
    </w:p>
    <w:p>
      <w:pPr>
        <w:numPr>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N1068E"/>
      <w:bookmarkEnd w:id="2"/>
      <w:bookmarkStart w:id="3" w:name="Usos+adicionales+del+codebase+en+RMI"/>
      <w:bookmarkEnd w:id="3"/>
      <w:bookmarkStart w:id="4" w:name="N106A1"/>
      <w:bookmarkEnd w:id="4"/>
      <w:bookmarkStart w:id="5" w:name="Codebase+y+seguridad"/>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bookmarkStart w:id="6" w:name="_GoBack"/>
      <w:bookmarkEnd w:id="6"/>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0"/>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drawing>
          <wp:anchor distT="0" distB="0" distL="114300" distR="114300" simplePos="0" relativeHeight="251664384" behindDoc="1" locked="0" layoutInCell="1" allowOverlap="1">
            <wp:simplePos x="0" y="0"/>
            <wp:positionH relativeFrom="column">
              <wp:posOffset>371475</wp:posOffset>
            </wp:positionH>
            <wp:positionV relativeFrom="page">
              <wp:posOffset>6550660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1"/>
                    <a:stretch>
                      <a:fillRect/>
                    </a:stretch>
                  </pic:blipFill>
                  <pic:spPr>
                    <a:xfrm>
                      <a:off x="0" y="0"/>
                      <a:ext cx="3263265" cy="1544955"/>
                    </a:xfrm>
                    <a:prstGeom prst="rect">
                      <a:avLst/>
                    </a:prstGeom>
                    <a:noFill/>
                    <a:ln>
                      <a:noFill/>
                    </a:ln>
                  </pic:spPr>
                </pic:pic>
              </a:graphicData>
            </a:graphic>
          </wp:anchor>
        </w:drawing>
      </w: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2714742"/>
    <w:rsid w:val="137E6912"/>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BD2A55"/>
    <w:rsid w:val="21FA4F10"/>
    <w:rsid w:val="2231313E"/>
    <w:rsid w:val="22A43D5E"/>
    <w:rsid w:val="237B0B11"/>
    <w:rsid w:val="245F7983"/>
    <w:rsid w:val="291F0B6B"/>
    <w:rsid w:val="293C1219"/>
    <w:rsid w:val="2A9278C6"/>
    <w:rsid w:val="2B104557"/>
    <w:rsid w:val="2B2665A6"/>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BD6377"/>
    <w:rsid w:val="3CD86007"/>
    <w:rsid w:val="3CE75DFD"/>
    <w:rsid w:val="3E0C5604"/>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2023-05-14T22:45:13Z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