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2w47r6oa0rg" w:id="0"/>
      <w:bookmarkEnd w:id="0"/>
      <w:r w:rsidDel="00000000" w:rsidR="00000000" w:rsidRPr="00000000">
        <w:rPr>
          <w:rtl w:val="0"/>
        </w:rPr>
        <w:t xml:space="preserve">Supplementary figures legends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Figure X1. Mutations in 80 core DNA damage response genes across 108 tumours with microsatellite instability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Pathogenic somatic and germline (grey dots) variants in MMR genes, </w:t>
      </w:r>
      <w:r w:rsidDel="00000000" w:rsidR="00000000" w:rsidRPr="00000000">
        <w:rPr>
          <w:i w:val="1"/>
          <w:rtl w:val="0"/>
        </w:rPr>
        <w:t xml:space="preserve">POLE,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POLD1</w:t>
      </w:r>
      <w:r w:rsidDel="00000000" w:rsidR="00000000" w:rsidRPr="00000000">
        <w:rPr>
          <w:rtl w:val="0"/>
        </w:rPr>
        <w:t xml:space="preserve"> (rows; grouped by pathways, sorted by mutation rate) across 108 microsatellite instable tumours (columns). Variant classes predicted using snpEff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(Cingolani et al. 2012)</w:t>
        </w:r>
      </w:hyperlink>
      <w:r w:rsidDel="00000000" w:rsidR="00000000" w:rsidRPr="00000000">
        <w:rPr>
          <w:rtl w:val="0"/>
        </w:rPr>
        <w:t xml:space="preserve">. Top bars indicate the number of mono- and dinucleotide repeat indels. Figure is created using maftools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(Mayakonda et al. 2018)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Figure X2. Mutations in MMR genes, </w:t>
      </w:r>
      <w:r w:rsidDel="00000000" w:rsidR="00000000" w:rsidRPr="00000000">
        <w:rPr>
          <w:b w:val="1"/>
          <w:i w:val="1"/>
          <w:rtl w:val="0"/>
        </w:rPr>
        <w:t xml:space="preserve">POLE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b w:val="1"/>
          <w:i w:val="1"/>
          <w:rtl w:val="0"/>
        </w:rPr>
        <w:t xml:space="preserve">POLD1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across 108 tumours with microsatellite instability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Pathogenic somatic and germline (grey dots) </w:t>
      </w:r>
      <w:r w:rsidDel="00000000" w:rsidR="00000000" w:rsidRPr="00000000">
        <w:rPr>
          <w:rtl w:val="0"/>
        </w:rPr>
        <w:t xml:space="preserve">variants in MMR genes, </w:t>
      </w:r>
      <w:r w:rsidDel="00000000" w:rsidR="00000000" w:rsidRPr="00000000">
        <w:rPr>
          <w:i w:val="1"/>
          <w:rtl w:val="0"/>
        </w:rPr>
        <w:t xml:space="preserve">POLE,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POLD1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(rows; grouped by pathways, sorted by mutation rate) across 108 microsatellite instable tumours (columns). Variant classes predicted using snpEff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(Cingolani et al. 2012)</w:t>
        </w:r>
      </w:hyperlink>
      <w:r w:rsidDel="00000000" w:rsidR="00000000" w:rsidRPr="00000000">
        <w:rPr>
          <w:rtl w:val="0"/>
        </w:rPr>
        <w:t xml:space="preserve">. Top bars indicate the number of mono- and dinucleotide repeat indels. Figure is created using maftools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(Mayakonda et al. 2018)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Figure X3. Pathogenic mutations in multiple MMR genes associates with elevated numbers of mono- and dinucleotide repeat indels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Number of indels in mono- and dinucleotide indels among tumours with one or more pathogenic mutations in MMR genes as well as </w:t>
      </w:r>
      <w:r w:rsidDel="00000000" w:rsidR="00000000" w:rsidRPr="00000000">
        <w:rPr>
          <w:i w:val="1"/>
          <w:rtl w:val="0"/>
        </w:rPr>
        <w:t xml:space="preserve">POLE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POLD1</w:t>
      </w:r>
      <w:r w:rsidDel="00000000" w:rsidR="00000000" w:rsidRPr="00000000">
        <w:rPr>
          <w:rtl w:val="0"/>
        </w:rPr>
        <w:t xml:space="preserve">, statistically explored by wilcoxon rank-sum test (un-paired, two-directional). We observed only a single tumor with mutations in five or more MMR genes, and did not statistically test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Figure X4. Correlation between per-tumour number mono- and dinucleotide repeat indels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Per-tumour (6,057 tumours) number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 mononucleotide indels flanked by ≥3 bases similar to the deleted/inserted base (y-axis) correlate with no. of dinucleotide indels flanked by ≥2 di-mers similar to the deleted/inserted dimer (x-axis),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the accumulated number of indels in mono- and dinucleotide repeat context (x-axis) correlates with the score obtained from msiseq analysis (y-axis).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Ratio of dinucleotide repeat indels (x-axis across &gt;6,000 tumours (y-axis).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Figure X5. </w:t>
      </w:r>
      <w:r w:rsidDel="00000000" w:rsidR="00000000" w:rsidRPr="00000000">
        <w:rPr>
          <w:b w:val="1"/>
          <w:rtl w:val="0"/>
        </w:rPr>
        <w:t xml:space="preserve">Rate of mono- and dinucleotide repeat sequence is preserved across genes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Per-gene (735 genes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number of bases in mono- and dinucleotide repeat sequences stretching three or more bases (x-axis; log10-transformed) shows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linear correlation (blue line) with the size of the gene (y-axis; log10-transformed). </w:t>
      </w: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The ratio of mono- and dinucleotide repeat sequences (x-axis) varies between genes.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Figure X6. Genome-wide ploidy changes do not explain the number of mono- and dinucleotide repeat indels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Genome-wide ploidy summarized by the median ploidy across all bases of the genome (x-axis)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across ~6,000 tumors (y-axis), and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mapped against the per-tumour number of indels in mono- and dinucleotide repeat indels (y-axis), for tumours with microsatellite stability (MSS; blue) and microsatellite instability (MSi; red). 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Figure X7. Indels are enriched in repeat sequences shorter than 15 bases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 of mono- and dinucleotide repeat indels across 735 DDR genes in 6,057 tumours (y-axis) divided by the length of the repeat sequence they occur in (x-axis; including repeat sequences of ≥3 bases).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 of repeat sequences (≥3 bases) across 735 DDR genes in the hg19/GRCh37 genome assembly (x-axis) against the length of each repeat sequence (x-axis, same as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). Bethesda panel marker regions annotated in red.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Figure X8. Tumours with microsatellite instability show increased rates of pathogenic mono- and dinucleotide repeat indels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Number of genes (out of 735 DDR genes; y-axis) divided by the rate of pathogenic events that are mono- and dinucleotide repeat indels (x-axis). Bottom lines indicate the rate across MMR related genes (</w:t>
      </w:r>
      <w:r w:rsidDel="00000000" w:rsidR="00000000" w:rsidRPr="00000000">
        <w:rPr>
          <w:i w:val="1"/>
          <w:rtl w:val="0"/>
        </w:rPr>
        <w:t xml:space="preserve">PMS2, MSH3, MSH6, MLH1, MSH2, PMS1, MLH3, POLE, EXO1, POLD1</w:t>
      </w:r>
      <w:r w:rsidDel="00000000" w:rsidR="00000000" w:rsidRPr="00000000">
        <w:rPr>
          <w:rtl w:val="0"/>
        </w:rPr>
        <w:t xml:space="preserve">; red)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perpile.com/c/RwXj5b/Tx4x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pile.com/c/RwXj5b/rIwJ" TargetMode="External"/><Relationship Id="rId7" Type="http://schemas.openxmlformats.org/officeDocument/2006/relationships/hyperlink" Target="https://paperpile.com/c/RwXj5b/Tx4x" TargetMode="External"/><Relationship Id="rId8" Type="http://schemas.openxmlformats.org/officeDocument/2006/relationships/hyperlink" Target="https://paperpile.com/c/RwXj5b/rIw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