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2w47r6oa0rg" w:id="0"/>
      <w:bookmarkEnd w:id="0"/>
      <w:r w:rsidDel="00000000" w:rsidR="00000000" w:rsidRPr="00000000">
        <w:rPr>
          <w:rtl w:val="0"/>
        </w:rPr>
        <w:t xml:space="preserve">Supplementary figure legends</w:t>
      </w:r>
    </w:p>
    <w:p w:rsidR="00000000" w:rsidDel="00000000" w:rsidP="00000000" w:rsidRDefault="00000000" w:rsidRPr="00000000" w14:paraId="00000002">
      <w:pPr>
        <w:spacing w:line="276" w:lineRule="auto"/>
        <w:rPr>
          <w:b w:val="1"/>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Supplementary Figure S1 |Difference of 5-fold in mutation rate detection can be detected</w:t>
      </w:r>
    </w:p>
    <w:p w:rsidR="00000000" w:rsidDel="00000000" w:rsidP="00000000" w:rsidRDefault="00000000" w:rsidRPr="00000000" w14:paraId="00000004">
      <w:pPr>
        <w:spacing w:line="276" w:lineRule="auto"/>
        <w:rPr>
          <w:b w:val="1"/>
        </w:rPr>
      </w:pPr>
      <w:r w:rsidDel="00000000" w:rsidR="00000000" w:rsidRPr="00000000">
        <w:rPr>
          <w:b w:val="1"/>
          <w:rtl w:val="0"/>
        </w:rPr>
        <w:t xml:space="preserve">qualitatively using </w:t>
      </w:r>
      <w:r w:rsidDel="00000000" w:rsidR="00000000" w:rsidRPr="00000000">
        <w:rPr>
          <w:b w:val="1"/>
          <w:i w:val="1"/>
          <w:rtl w:val="0"/>
        </w:rPr>
        <w:t xml:space="preserve">CAN1</w:t>
      </w:r>
      <w:r w:rsidDel="00000000" w:rsidR="00000000" w:rsidRPr="00000000">
        <w:rPr>
          <w:b w:val="1"/>
          <w:rtl w:val="0"/>
        </w:rPr>
        <w:t xml:space="preserve"> forward mutation rate assay</w:t>
      </w:r>
    </w:p>
    <w:p w:rsidR="00000000" w:rsidDel="00000000" w:rsidP="00000000" w:rsidRDefault="00000000" w:rsidRPr="00000000" w14:paraId="00000005">
      <w:pPr>
        <w:spacing w:line="276" w:lineRule="auto"/>
        <w:rPr/>
      </w:pPr>
      <w:r w:rsidDel="00000000" w:rsidR="00000000" w:rsidRPr="00000000">
        <w:rPr>
          <w:b w:val="1"/>
          <w:rtl w:val="0"/>
        </w:rPr>
        <w:t xml:space="preserve">a </w:t>
      </w:r>
      <w:r w:rsidDel="00000000" w:rsidR="00000000" w:rsidRPr="00000000">
        <w:rPr>
          <w:rtl w:val="0"/>
        </w:rPr>
        <w:t xml:space="preserve">Canavanine enters yeast cells through CAN1 membrane-associated proteins, causing cell-death, </w:t>
      </w:r>
      <w:r w:rsidDel="00000000" w:rsidR="00000000" w:rsidRPr="00000000">
        <w:rPr>
          <w:b w:val="1"/>
          <w:rtl w:val="0"/>
        </w:rPr>
        <w:t xml:space="preserve">b </w:t>
      </w:r>
      <w:r w:rsidDel="00000000" w:rsidR="00000000" w:rsidRPr="00000000">
        <w:rPr>
          <w:rtl w:val="0"/>
        </w:rPr>
        <w:t xml:space="preserve">or colony formation when </w:t>
      </w:r>
      <w:r w:rsidDel="00000000" w:rsidR="00000000" w:rsidRPr="00000000">
        <w:rPr>
          <w:i w:val="1"/>
          <w:rtl w:val="0"/>
        </w:rPr>
        <w:t xml:space="preserve">CAN1</w:t>
      </w:r>
      <w:r w:rsidDel="00000000" w:rsidR="00000000" w:rsidRPr="00000000">
        <w:rPr>
          <w:rtl w:val="0"/>
        </w:rPr>
        <w:t xml:space="preserve"> is mutated.</w:t>
      </w:r>
    </w:p>
    <w:p w:rsidR="00000000" w:rsidDel="00000000" w:rsidP="00000000" w:rsidRDefault="00000000" w:rsidRPr="00000000" w14:paraId="00000006">
      <w:pPr>
        <w:spacing w:line="276" w:lineRule="auto"/>
        <w:rPr/>
      </w:pPr>
      <w:r w:rsidDel="00000000" w:rsidR="00000000" w:rsidRPr="00000000">
        <w:rPr>
          <w:b w:val="1"/>
          <w:rtl w:val="0"/>
        </w:rPr>
        <w:t xml:space="preserve">c </w:t>
      </w:r>
      <w:r w:rsidDel="00000000" w:rsidR="00000000" w:rsidRPr="00000000">
        <w:rPr>
          <w:rtl w:val="0"/>
        </w:rPr>
        <w:t xml:space="preserve">Different fold dilutions of WT, </w:t>
      </w:r>
      <w:r w:rsidDel="00000000" w:rsidR="00000000" w:rsidRPr="00000000">
        <w:rPr>
          <w:i w:val="1"/>
          <w:rtl w:val="0"/>
        </w:rPr>
        <w:t xml:space="preserve">mlh1</w:t>
      </w:r>
      <w:r w:rsidDel="00000000" w:rsidR="00000000" w:rsidRPr="00000000">
        <w:rPr>
          <w:rtl w:val="0"/>
        </w:rPr>
        <w:t xml:space="preserve">Δ, </w:t>
      </w:r>
      <w:r w:rsidDel="00000000" w:rsidR="00000000" w:rsidRPr="00000000">
        <w:rPr>
          <w:i w:val="1"/>
          <w:rtl w:val="0"/>
        </w:rPr>
        <w:t xml:space="preserve">exo1</w:t>
      </w:r>
      <w:r w:rsidDel="00000000" w:rsidR="00000000" w:rsidRPr="00000000">
        <w:rPr>
          <w:rtl w:val="0"/>
        </w:rPr>
        <w:t xml:space="preserve">Δ and </w:t>
      </w:r>
      <w:r w:rsidDel="00000000" w:rsidR="00000000" w:rsidRPr="00000000">
        <w:rPr>
          <w:i w:val="1"/>
          <w:rtl w:val="0"/>
        </w:rPr>
        <w:t xml:space="preserve">mlh1-E31A</w:t>
      </w:r>
      <w:r w:rsidDel="00000000" w:rsidR="00000000" w:rsidRPr="00000000">
        <w:rPr>
          <w:rtl w:val="0"/>
        </w:rPr>
        <w:t xml:space="preserve"> were plated on canavanine media and mutation rates were assessed qualitatively.</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b w:val="1"/>
          <w:rtl w:val="0"/>
        </w:rPr>
        <w:t xml:space="preserve">Supplementary Figure S2 |Confirmation of </w:t>
      </w:r>
      <w:r w:rsidDel="00000000" w:rsidR="00000000" w:rsidRPr="00000000">
        <w:rPr>
          <w:b w:val="1"/>
          <w:i w:val="1"/>
          <w:rtl w:val="0"/>
        </w:rPr>
        <w:t xml:space="preserve">hMLH1</w:t>
      </w:r>
      <w:r w:rsidDel="00000000" w:rsidR="00000000" w:rsidRPr="00000000">
        <w:rPr>
          <w:b w:val="1"/>
          <w:rtl w:val="0"/>
        </w:rPr>
        <w:t xml:space="preserve"> expression for strains having lower</w:t>
      </w:r>
    </w:p>
    <w:p w:rsidR="00000000" w:rsidDel="00000000" w:rsidP="00000000" w:rsidRDefault="00000000" w:rsidRPr="00000000" w14:paraId="0000000A">
      <w:pPr>
        <w:spacing w:line="276" w:lineRule="auto"/>
        <w:rPr>
          <w:b w:val="1"/>
        </w:rPr>
      </w:pPr>
      <w:r w:rsidDel="00000000" w:rsidR="00000000" w:rsidRPr="00000000">
        <w:rPr>
          <w:b w:val="1"/>
          <w:rtl w:val="0"/>
        </w:rPr>
        <w:t xml:space="preserve">mutation rate compared to WT when MMR is attenuated.</w:t>
      </w:r>
    </w:p>
    <w:p w:rsidR="00000000" w:rsidDel="00000000" w:rsidP="00000000" w:rsidRDefault="00000000" w:rsidRPr="00000000" w14:paraId="0000000B">
      <w:pPr>
        <w:spacing w:line="276" w:lineRule="auto"/>
        <w:rPr/>
      </w:pPr>
      <w:r w:rsidDel="00000000" w:rsidR="00000000" w:rsidRPr="00000000">
        <w:rPr>
          <w:rtl w:val="0"/>
        </w:rPr>
        <w:t xml:space="preserve">a Qualitative representation of </w:t>
      </w:r>
      <w:r w:rsidDel="00000000" w:rsidR="00000000" w:rsidRPr="00000000">
        <w:rPr>
          <w:i w:val="1"/>
          <w:rtl w:val="0"/>
        </w:rPr>
        <w:t xml:space="preserve">CAN1</w:t>
      </w:r>
      <w:r w:rsidDel="00000000" w:rsidR="00000000" w:rsidRPr="00000000">
        <w:rPr>
          <w:rtl w:val="0"/>
        </w:rPr>
        <w:t xml:space="preserve"> mutation rate assay, when either only vector or </w:t>
      </w:r>
      <w:r w:rsidDel="00000000" w:rsidR="00000000" w:rsidRPr="00000000">
        <w:rPr>
          <w:i w:val="1"/>
          <w:rtl w:val="0"/>
        </w:rPr>
        <w:t xml:space="preserve">hMLH1</w:t>
      </w:r>
      <w:r w:rsidDel="00000000" w:rsidR="00000000" w:rsidRPr="00000000">
        <w:rPr>
          <w:rtl w:val="0"/>
        </w:rPr>
        <w:t xml:space="preserve"> is expressed in the gene of interest. </w:t>
      </w:r>
    </w:p>
    <w:p w:rsidR="00000000" w:rsidDel="00000000" w:rsidP="00000000" w:rsidRDefault="00000000" w:rsidRPr="00000000" w14:paraId="0000000C">
      <w:pPr>
        <w:spacing w:line="276" w:lineRule="auto"/>
        <w:rPr/>
      </w:pPr>
      <w:r w:rsidDel="00000000" w:rsidR="00000000" w:rsidRPr="00000000">
        <w:rPr>
          <w:b w:val="1"/>
          <w:rtl w:val="0"/>
        </w:rPr>
        <w:t xml:space="preserve">b</w:t>
      </w:r>
      <w:r w:rsidDel="00000000" w:rsidR="00000000" w:rsidRPr="00000000">
        <w:rPr>
          <w:rtl w:val="0"/>
        </w:rPr>
        <w:t xml:space="preserve"> Western blot of the same strains from figure A where samples were extracted by TCA protein extraction and probed with antibody anti-hMLH1, 1:500 in PBS-Tween, protein size around 80KDa. and anti PGK1 (as loading control), 1:25000 in PBS- Tween size around 50KDa. </w:t>
      </w:r>
    </w:p>
    <w:p w:rsidR="00000000" w:rsidDel="00000000" w:rsidP="00000000" w:rsidRDefault="00000000" w:rsidRPr="00000000" w14:paraId="0000000D">
      <w:pPr>
        <w:spacing w:line="276" w:lineRule="auto"/>
        <w:rPr/>
      </w:pPr>
      <w:r w:rsidDel="00000000" w:rsidR="00000000" w:rsidRPr="00000000">
        <w:rPr>
          <w:b w:val="1"/>
          <w:rtl w:val="0"/>
        </w:rPr>
        <w:t xml:space="preserve">c</w:t>
      </w:r>
      <w:r w:rsidDel="00000000" w:rsidR="00000000" w:rsidRPr="00000000">
        <w:rPr>
          <w:rtl w:val="0"/>
        </w:rPr>
        <w:t xml:space="preserve"> Qualitative representation of </w:t>
      </w:r>
      <w:r w:rsidDel="00000000" w:rsidR="00000000" w:rsidRPr="00000000">
        <w:rPr>
          <w:i w:val="1"/>
          <w:rtl w:val="0"/>
        </w:rPr>
        <w:t xml:space="preserve">CAN1</w:t>
      </w:r>
      <w:r w:rsidDel="00000000" w:rsidR="00000000" w:rsidRPr="00000000">
        <w:rPr>
          <w:rtl w:val="0"/>
        </w:rPr>
        <w:t xml:space="preserve"> forward mutation rate assay, when either only vector or hMLH1 is expressed in the gene of interest. </w:t>
      </w:r>
    </w:p>
    <w:p w:rsidR="00000000" w:rsidDel="00000000" w:rsidP="00000000" w:rsidRDefault="00000000" w:rsidRPr="00000000" w14:paraId="0000000E">
      <w:pPr>
        <w:spacing w:line="276" w:lineRule="auto"/>
        <w:rPr/>
      </w:pPr>
      <w:r w:rsidDel="00000000" w:rsidR="00000000" w:rsidRPr="00000000">
        <w:rPr>
          <w:b w:val="1"/>
          <w:rtl w:val="0"/>
        </w:rPr>
        <w:t xml:space="preserve">d</w:t>
      </w:r>
      <w:r w:rsidDel="00000000" w:rsidR="00000000" w:rsidRPr="00000000">
        <w:rPr>
          <w:rtl w:val="0"/>
        </w:rPr>
        <w:t xml:space="preserve"> Western blot of the same strains from figure A where samples were extracted by TCA protein extraction (materials and methods 22) and stained with antibody anti-hMLH1, 1:500 in PBS-Tween, protein size around 80KDa.and anti PGK1 (as loading control), 1:25000 in PBS- Tween size around 50KDa.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Supplementary Figure S3 | Confirmation of lower mutation rates when MMR genes are completely deleted.</w:t>
      </w:r>
    </w:p>
    <w:p w:rsidR="00000000" w:rsidDel="00000000" w:rsidP="00000000" w:rsidRDefault="00000000" w:rsidRPr="00000000" w14:paraId="00000012">
      <w:pPr>
        <w:rPr/>
      </w:pPr>
      <w:r w:rsidDel="00000000" w:rsidR="00000000" w:rsidRPr="00000000">
        <w:rPr>
          <w:b w:val="1"/>
          <w:rtl w:val="0"/>
        </w:rPr>
        <w:t xml:space="preserve">a</w:t>
      </w:r>
      <w:r w:rsidDel="00000000" w:rsidR="00000000" w:rsidRPr="00000000">
        <w:rPr>
          <w:rtl w:val="0"/>
        </w:rPr>
        <w:t xml:space="preserve">.Complete deletion of other genes involved in yeast MMR namely </w:t>
      </w:r>
      <w:r w:rsidDel="00000000" w:rsidR="00000000" w:rsidRPr="00000000">
        <w:rPr>
          <w:i w:val="1"/>
          <w:rtl w:val="0"/>
        </w:rPr>
        <w:t xml:space="preserve">MSH2 </w:t>
      </w:r>
      <w:r w:rsidDel="00000000" w:rsidR="00000000" w:rsidRPr="00000000">
        <w:rPr>
          <w:rtl w:val="0"/>
        </w:rPr>
        <w:t xml:space="preserve">and </w:t>
      </w:r>
      <w:r w:rsidDel="00000000" w:rsidR="00000000" w:rsidRPr="00000000">
        <w:rPr>
          <w:i w:val="1"/>
          <w:rtl w:val="0"/>
        </w:rPr>
        <w:t xml:space="preserve">PMS1</w:t>
      </w:r>
      <w:r w:rsidDel="00000000" w:rsidR="00000000" w:rsidRPr="00000000">
        <w:rPr>
          <w:rtl w:val="0"/>
        </w:rPr>
        <w:t xml:space="preserve"> also showed reproducible data in 341 strains suggesting that the observed lower mutation rate is due to MMR attenuation. </w:t>
      </w:r>
    </w:p>
    <w:p w:rsidR="00000000" w:rsidDel="00000000" w:rsidP="00000000" w:rsidRDefault="00000000" w:rsidRPr="00000000" w14:paraId="00000013">
      <w:pPr>
        <w:rPr/>
      </w:pPr>
      <w:r w:rsidDel="00000000" w:rsidR="00000000" w:rsidRPr="00000000">
        <w:rPr>
          <w:b w:val="1"/>
          <w:rtl w:val="0"/>
        </w:rPr>
        <w:t xml:space="preserve">b</w:t>
      </w:r>
      <w:r w:rsidDel="00000000" w:rsidR="00000000" w:rsidRPr="00000000">
        <w:rPr>
          <w:rtl w:val="0"/>
        </w:rPr>
        <w:t xml:space="preserve">.Average mutation rates per cell for deletion strains of genes associated with transcription using </w:t>
      </w:r>
      <w:r w:rsidDel="00000000" w:rsidR="00000000" w:rsidRPr="00000000">
        <w:rPr>
          <w:i w:val="1"/>
          <w:rtl w:val="0"/>
        </w:rPr>
        <w:t xml:space="preserve">CAN1</w:t>
      </w:r>
      <w:r w:rsidDel="00000000" w:rsidR="00000000" w:rsidRPr="00000000">
        <w:rPr>
          <w:rtl w:val="0"/>
        </w:rPr>
        <w:t xml:space="preserve"> forward mutation rate assay. Mutation rates were determined using a method of median, grey bars represent gene of interest deletion; blue bars represent double deletions i.e. gene of interest and </w:t>
      </w:r>
      <w:r w:rsidDel="00000000" w:rsidR="00000000" w:rsidRPr="00000000">
        <w:rPr>
          <w:i w:val="1"/>
          <w:rtl w:val="0"/>
        </w:rPr>
        <w:t xml:space="preserve">MLH1</w:t>
      </w:r>
      <w:r w:rsidDel="00000000" w:rsidR="00000000" w:rsidRPr="00000000">
        <w:rPr>
          <w:rtl w:val="0"/>
        </w:rPr>
        <w:t xml:space="preserve"> fold difference values for </w:t>
      </w:r>
      <w:r w:rsidDel="00000000" w:rsidR="00000000" w:rsidRPr="00000000">
        <w:rPr>
          <w:i w:val="1"/>
          <w:rtl w:val="0"/>
        </w:rPr>
        <w:t xml:space="preserve">TFB5</w:t>
      </w:r>
      <w:r w:rsidDel="00000000" w:rsidR="00000000" w:rsidRPr="00000000">
        <w:rPr>
          <w:rtl w:val="0"/>
        </w:rPr>
        <w:t xml:space="preserve"> and </w:t>
      </w:r>
      <w:r w:rsidDel="00000000" w:rsidR="00000000" w:rsidRPr="00000000">
        <w:rPr>
          <w:i w:val="1"/>
          <w:rtl w:val="0"/>
        </w:rPr>
        <w:t xml:space="preserve">SAC3</w:t>
      </w:r>
      <w:r w:rsidDel="00000000" w:rsidR="00000000" w:rsidRPr="00000000">
        <w:rPr>
          <w:rtl w:val="0"/>
        </w:rPr>
        <w:t xml:space="preserve"> deletion strains are mentioned in brackets. </w:t>
      </w:r>
    </w:p>
    <w:p w:rsidR="00000000" w:rsidDel="00000000" w:rsidP="00000000" w:rsidRDefault="00000000" w:rsidRPr="00000000" w14:paraId="00000014">
      <w:pPr>
        <w:rPr/>
      </w:pPr>
      <w:r w:rsidDel="00000000" w:rsidR="00000000" w:rsidRPr="00000000">
        <w:rPr>
          <w:b w:val="1"/>
          <w:rtl w:val="0"/>
        </w:rPr>
        <w:t xml:space="preserve">c</w:t>
      </w:r>
      <w:r w:rsidDel="00000000" w:rsidR="00000000" w:rsidRPr="00000000">
        <w:rPr>
          <w:rtl w:val="0"/>
        </w:rPr>
        <w:t xml:space="preserve">. Average mutation rates per cell for deletion strains of genes associated with transcription using Lys-14A reporter assay. Mutation rates were determined using a method of median, grey bars represent gene of interest deletion;blue bars represent double deletions i.e.gene of interest and </w:t>
      </w:r>
      <w:r w:rsidDel="00000000" w:rsidR="00000000" w:rsidRPr="00000000">
        <w:rPr>
          <w:i w:val="1"/>
          <w:rtl w:val="0"/>
        </w:rPr>
        <w:t xml:space="preserve">MLH1</w:t>
      </w:r>
      <w:r w:rsidDel="00000000" w:rsidR="00000000" w:rsidRPr="00000000">
        <w:rPr>
          <w:rtl w:val="0"/>
        </w:rPr>
        <w:t xml:space="preserve">; fold difference values for </w:t>
      </w:r>
      <w:r w:rsidDel="00000000" w:rsidR="00000000" w:rsidRPr="00000000">
        <w:rPr>
          <w:i w:val="1"/>
          <w:rtl w:val="0"/>
        </w:rPr>
        <w:t xml:space="preserve">TFB5</w:t>
      </w:r>
      <w:r w:rsidDel="00000000" w:rsidR="00000000" w:rsidRPr="00000000">
        <w:rPr>
          <w:rtl w:val="0"/>
        </w:rPr>
        <w:t xml:space="preserve"> and </w:t>
      </w:r>
      <w:r w:rsidDel="00000000" w:rsidR="00000000" w:rsidRPr="00000000">
        <w:rPr>
          <w:i w:val="1"/>
          <w:rtl w:val="0"/>
        </w:rPr>
        <w:t xml:space="preserve">SAC3 </w:t>
      </w:r>
      <w:r w:rsidDel="00000000" w:rsidR="00000000" w:rsidRPr="00000000">
        <w:rPr>
          <w:rtl w:val="0"/>
        </w:rPr>
        <w:t xml:space="preserve">deletion strains are mentioned in brackets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b w:val="1"/>
          <w:rtl w:val="0"/>
        </w:rPr>
        <w:t xml:space="preserve">Supplementary Figure S4 | Correlation between per-tumour number mono- and dinucleotide repeat indels</w:t>
      </w:r>
    </w:p>
    <w:p w:rsidR="00000000" w:rsidDel="00000000" w:rsidP="00000000" w:rsidRDefault="00000000" w:rsidRPr="00000000" w14:paraId="00000018">
      <w:pPr>
        <w:rPr/>
      </w:pPr>
      <w:r w:rsidDel="00000000" w:rsidR="00000000" w:rsidRPr="00000000">
        <w:rPr>
          <w:b w:val="1"/>
          <w:rtl w:val="0"/>
        </w:rPr>
        <w:t xml:space="preserve">a </w:t>
      </w:r>
      <w:r w:rsidDel="00000000" w:rsidR="00000000" w:rsidRPr="00000000">
        <w:rPr>
          <w:rFonts w:ascii="Arial Unicode MS" w:cs="Arial Unicode MS" w:eastAsia="Arial Unicode MS" w:hAnsi="Arial Unicode MS"/>
          <w:rtl w:val="0"/>
        </w:rPr>
        <w:t xml:space="preserve">Per-tumour (6,057 tumours) number of mononucleotide indels flanked by ≥3 bases similar to the deleted/inserted base (y-axis) correlate with the number of dinucleotide indels flanked by ≥2 di-mers similar to the deleted/inserted dimer (x-axis), and </w:t>
      </w:r>
    </w:p>
    <w:p w:rsidR="00000000" w:rsidDel="00000000" w:rsidP="00000000" w:rsidRDefault="00000000" w:rsidRPr="00000000" w14:paraId="00000019">
      <w:pPr>
        <w:rPr>
          <w:b w:val="1"/>
        </w:rPr>
      </w:pPr>
      <w:r w:rsidDel="00000000" w:rsidR="00000000" w:rsidRPr="00000000">
        <w:rPr>
          <w:b w:val="1"/>
          <w:rtl w:val="0"/>
        </w:rPr>
        <w:t xml:space="preserve">b</w:t>
      </w:r>
      <w:r w:rsidDel="00000000" w:rsidR="00000000" w:rsidRPr="00000000">
        <w:rPr>
          <w:rtl w:val="0"/>
        </w:rPr>
        <w:t xml:space="preserve"> the accumulated number of indels in mono- and dinucleotide repeat context (x-axis) correlates with the score obtained from MSIseq analysis (y-axis). </w:t>
      </w:r>
      <w:r w:rsidDel="00000000" w:rsidR="00000000" w:rsidRPr="00000000">
        <w:rPr>
          <w:b w:val="1"/>
          <w:rtl w:val="0"/>
        </w:rPr>
        <w:t xml:space="preserve">c</w:t>
      </w:r>
      <w:r w:rsidDel="00000000" w:rsidR="00000000" w:rsidRPr="00000000">
        <w:rPr>
          <w:rtl w:val="0"/>
        </w:rPr>
        <w:t xml:space="preserve"> Ratio of dinucleotide repeat indels (x-axis across &gt;6,000 tumours (y-axis).</w:t>
      </w: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b w:val="1"/>
          <w:rtl w:val="0"/>
        </w:rPr>
        <w:t xml:space="preserve">Supplementary Figure S5 | Indels are enriched in repeat sequences shorter than 15 bases</w:t>
      </w:r>
    </w:p>
    <w:p w:rsidR="00000000" w:rsidDel="00000000" w:rsidP="00000000" w:rsidRDefault="00000000" w:rsidRPr="00000000" w14:paraId="0000001C">
      <w:pPr>
        <w:spacing w:line="276" w:lineRule="auto"/>
        <w:rPr/>
      </w:pPr>
      <w:r w:rsidDel="00000000" w:rsidR="00000000" w:rsidRPr="00000000">
        <w:rPr>
          <w:b w:val="1"/>
          <w:rtl w:val="0"/>
        </w:rPr>
        <w:t xml:space="preserve">a </w:t>
      </w:r>
      <w:r w:rsidDel="00000000" w:rsidR="00000000" w:rsidRPr="00000000">
        <w:rPr>
          <w:rFonts w:ascii="Arial Unicode MS" w:cs="Arial Unicode MS" w:eastAsia="Arial Unicode MS" w:hAnsi="Arial Unicode MS"/>
          <w:rtl w:val="0"/>
        </w:rPr>
        <w:t xml:space="preserve">Number of mono- and dinucleotide repeat indels across 735 DDR genes in 6,057 tumours (y-axis) divided by the length of the repeat sequence they occur in (x-axis; including repeat sequences of ≥3 bases). </w:t>
      </w:r>
    </w:p>
    <w:p w:rsidR="00000000" w:rsidDel="00000000" w:rsidP="00000000" w:rsidRDefault="00000000" w:rsidRPr="00000000" w14:paraId="0000001D">
      <w:pPr>
        <w:spacing w:line="276" w:lineRule="auto"/>
        <w:rPr/>
      </w:pPr>
      <w:r w:rsidDel="00000000" w:rsidR="00000000" w:rsidRPr="00000000">
        <w:rPr>
          <w:b w:val="1"/>
          <w:rtl w:val="0"/>
        </w:rPr>
        <w:t xml:space="preserve">b </w:t>
      </w:r>
      <w:r w:rsidDel="00000000" w:rsidR="00000000" w:rsidRPr="00000000">
        <w:rPr>
          <w:rFonts w:ascii="Arial Unicode MS" w:cs="Arial Unicode MS" w:eastAsia="Arial Unicode MS" w:hAnsi="Arial Unicode MS"/>
          <w:rtl w:val="0"/>
        </w:rPr>
        <w:t xml:space="preserve">Number of repeat sequences (≥3 bases) across 735 DDR genes in the hg19/GRCh37 genome assembly (x-axis) against the length of each repeat sequence (x-axis, same as </w:t>
      </w:r>
      <w:r w:rsidDel="00000000" w:rsidR="00000000" w:rsidRPr="00000000">
        <w:rPr>
          <w:b w:val="1"/>
          <w:rtl w:val="0"/>
        </w:rPr>
        <w:t xml:space="preserve">a</w:t>
      </w:r>
      <w:r w:rsidDel="00000000" w:rsidR="00000000" w:rsidRPr="00000000">
        <w:rPr>
          <w:rtl w:val="0"/>
        </w:rPr>
        <w:t xml:space="preserve">). Bethesda panel marker regions are annotated in red.</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b w:val="1"/>
          <w:rtl w:val="0"/>
        </w:rPr>
        <w:t xml:space="preserve">Supplementary Figure S6 | Genome-wide ploidy changes do not explain the number of mono- and dinucleotide repeat indels</w:t>
        <w:br w:type="textWrapping"/>
        <w:t xml:space="preserve">a </w:t>
      </w:r>
      <w:r w:rsidDel="00000000" w:rsidR="00000000" w:rsidRPr="00000000">
        <w:rPr>
          <w:rtl w:val="0"/>
        </w:rPr>
        <w:t xml:space="preserve">Genome-wide ploidy summarized by the median ploidy across all bases of the genome (x-axis)</w:t>
      </w:r>
      <w:r w:rsidDel="00000000" w:rsidR="00000000" w:rsidRPr="00000000">
        <w:rPr>
          <w:b w:val="1"/>
          <w:rtl w:val="0"/>
        </w:rPr>
        <w:t xml:space="preserve"> </w:t>
      </w:r>
      <w:r w:rsidDel="00000000" w:rsidR="00000000" w:rsidRPr="00000000">
        <w:rPr>
          <w:rtl w:val="0"/>
        </w:rPr>
        <w:t xml:space="preserve">across ~6,000 tumors (y-axis), and </w:t>
      </w:r>
    </w:p>
    <w:p w:rsidR="00000000" w:rsidDel="00000000" w:rsidP="00000000" w:rsidRDefault="00000000" w:rsidRPr="00000000" w14:paraId="00000021">
      <w:pPr>
        <w:spacing w:line="276" w:lineRule="auto"/>
        <w:rPr/>
      </w:pPr>
      <w:r w:rsidDel="00000000" w:rsidR="00000000" w:rsidRPr="00000000">
        <w:rPr>
          <w:b w:val="1"/>
          <w:rtl w:val="0"/>
        </w:rPr>
        <w:t xml:space="preserve">b </w:t>
      </w:r>
      <w:r w:rsidDel="00000000" w:rsidR="00000000" w:rsidRPr="00000000">
        <w:rPr>
          <w:rtl w:val="0"/>
        </w:rPr>
        <w:t xml:space="preserve">mapped against the per-tumour number of indels in mono- and dinucleotide repeat indels (y-axis), for tumours with microsatellite stability (MSS; blue) and microsatellite instability (MSi; red). </w:t>
      </w:r>
    </w:p>
    <w:p w:rsidR="00000000" w:rsidDel="00000000" w:rsidP="00000000" w:rsidRDefault="00000000" w:rsidRPr="00000000" w14:paraId="00000022">
      <w:pPr>
        <w:spacing w:line="276" w:lineRule="auto"/>
        <w:rPr>
          <w:b w:val="1"/>
        </w:rPr>
      </w:pPr>
      <w:r w:rsidDel="00000000" w:rsidR="00000000" w:rsidRPr="00000000">
        <w:rPr>
          <w:rtl w:val="0"/>
        </w:rPr>
      </w:r>
    </w:p>
    <w:p w:rsidR="00000000" w:rsidDel="00000000" w:rsidP="00000000" w:rsidRDefault="00000000" w:rsidRPr="00000000" w14:paraId="00000023">
      <w:pPr>
        <w:spacing w:line="276" w:lineRule="auto"/>
        <w:rPr>
          <w:b w:val="1"/>
        </w:rPr>
      </w:pPr>
      <w:r w:rsidDel="00000000" w:rsidR="00000000" w:rsidRPr="00000000">
        <w:rPr>
          <w:rtl w:val="0"/>
        </w:rPr>
      </w:r>
    </w:p>
    <w:p w:rsidR="00000000" w:rsidDel="00000000" w:rsidP="00000000" w:rsidRDefault="00000000" w:rsidRPr="00000000" w14:paraId="00000024">
      <w:pPr>
        <w:spacing w:line="276" w:lineRule="auto"/>
        <w:rPr>
          <w:b w:val="1"/>
        </w:rPr>
      </w:pPr>
      <w:r w:rsidDel="00000000" w:rsidR="00000000" w:rsidRPr="00000000">
        <w:rPr>
          <w:b w:val="1"/>
          <w:rtl w:val="0"/>
        </w:rPr>
        <w:t xml:space="preserve">Supplementary Figure S7 | Mutations in 80 core DNA damage response genes across 108 tumours with microsatellite instability</w:t>
      </w:r>
    </w:p>
    <w:p w:rsidR="00000000" w:rsidDel="00000000" w:rsidP="00000000" w:rsidRDefault="00000000" w:rsidRPr="00000000" w14:paraId="00000025">
      <w:pPr>
        <w:rPr>
          <w:b w:val="1"/>
        </w:rPr>
      </w:pPr>
      <w:r w:rsidDel="00000000" w:rsidR="00000000" w:rsidRPr="00000000">
        <w:rPr>
          <w:rtl w:val="0"/>
        </w:rPr>
        <w:t xml:space="preserve">Pathogenic somatic and germline (grey dots) variants in MMR genes, </w:t>
      </w:r>
      <w:r w:rsidDel="00000000" w:rsidR="00000000" w:rsidRPr="00000000">
        <w:rPr>
          <w:i w:val="1"/>
          <w:rtl w:val="0"/>
        </w:rPr>
        <w:t xml:space="preserve">POLE,</w:t>
      </w:r>
      <w:r w:rsidDel="00000000" w:rsidR="00000000" w:rsidRPr="00000000">
        <w:rPr>
          <w:rtl w:val="0"/>
        </w:rPr>
        <w:t xml:space="preserve"> and </w:t>
      </w:r>
      <w:r w:rsidDel="00000000" w:rsidR="00000000" w:rsidRPr="00000000">
        <w:rPr>
          <w:i w:val="1"/>
          <w:rtl w:val="0"/>
        </w:rPr>
        <w:t xml:space="preserve">POLD1</w:t>
      </w:r>
      <w:r w:rsidDel="00000000" w:rsidR="00000000" w:rsidRPr="00000000">
        <w:rPr>
          <w:rtl w:val="0"/>
        </w:rPr>
        <w:t xml:space="preserve"> (rows; grouped by pathways, sorted by mutation rate) across 108 microsatellite instable tumours (columns). Variant classes predicted using snpEff </w:t>
      </w:r>
      <w:hyperlink r:id="rId6">
        <w:r w:rsidDel="00000000" w:rsidR="00000000" w:rsidRPr="00000000">
          <w:rPr>
            <w:b w:val="0"/>
            <w:color w:val="000000"/>
            <w:u w:val="none"/>
            <w:rtl w:val="0"/>
          </w:rPr>
          <w:t xml:space="preserve">(Cingolani </w:t>
        </w:r>
      </w:hyperlink>
      <w:hyperlink r:id="rId7">
        <w:r w:rsidDel="00000000" w:rsidR="00000000" w:rsidRPr="00000000">
          <w:rPr>
            <w:b w:val="0"/>
            <w:i w:val="1"/>
            <w:color w:val="000000"/>
            <w:u w:val="none"/>
            <w:rtl w:val="0"/>
          </w:rPr>
          <w:t xml:space="preserve">et al.</w:t>
        </w:r>
      </w:hyperlink>
      <w:hyperlink r:id="rId8">
        <w:r w:rsidDel="00000000" w:rsidR="00000000" w:rsidRPr="00000000">
          <w:rPr>
            <w:b w:val="0"/>
            <w:color w:val="000000"/>
            <w:u w:val="none"/>
            <w:rtl w:val="0"/>
          </w:rPr>
          <w:t xml:space="preserve"> 2012)</w:t>
        </w:r>
      </w:hyperlink>
      <w:r w:rsidDel="00000000" w:rsidR="00000000" w:rsidRPr="00000000">
        <w:rPr>
          <w:rtl w:val="0"/>
        </w:rPr>
        <w:t xml:space="preserve">. Top bars indicate the number of mono- and dinucleotide repeat indels. Figure is created using maftools </w:t>
      </w:r>
      <w:hyperlink r:id="rId9">
        <w:r w:rsidDel="00000000" w:rsidR="00000000" w:rsidRPr="00000000">
          <w:rPr>
            <w:b w:val="0"/>
            <w:color w:val="000000"/>
            <w:u w:val="none"/>
            <w:rtl w:val="0"/>
          </w:rPr>
          <w:t xml:space="preserve">(Mayakonda </w:t>
        </w:r>
      </w:hyperlink>
      <w:hyperlink r:id="rId10">
        <w:r w:rsidDel="00000000" w:rsidR="00000000" w:rsidRPr="00000000">
          <w:rPr>
            <w:b w:val="0"/>
            <w:i w:val="1"/>
            <w:color w:val="000000"/>
            <w:u w:val="none"/>
            <w:rtl w:val="0"/>
          </w:rPr>
          <w:t xml:space="preserve">et al</w:t>
        </w:r>
      </w:hyperlink>
      <w:hyperlink r:id="rId11">
        <w:r w:rsidDel="00000000" w:rsidR="00000000" w:rsidRPr="00000000">
          <w:rPr>
            <w:b w:val="0"/>
            <w:color w:val="000000"/>
            <w:u w:val="none"/>
            <w:rtl w:val="0"/>
          </w:rPr>
          <w:t xml:space="preserve">. 2018)</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spacing w:line="276" w:lineRule="auto"/>
        <w:rPr>
          <w:b w:val="1"/>
        </w:rPr>
      </w:pPr>
      <w:r w:rsidDel="00000000" w:rsidR="00000000" w:rsidRPr="00000000">
        <w:rPr>
          <w:rtl w:val="0"/>
        </w:rPr>
      </w:r>
    </w:p>
    <w:p w:rsidR="00000000" w:rsidDel="00000000" w:rsidP="00000000" w:rsidRDefault="00000000" w:rsidRPr="00000000" w14:paraId="00000027">
      <w:pPr>
        <w:spacing w:line="276" w:lineRule="auto"/>
        <w:rPr>
          <w:b w:val="1"/>
        </w:rPr>
      </w:pPr>
      <w:r w:rsidDel="00000000" w:rsidR="00000000" w:rsidRPr="00000000">
        <w:rPr>
          <w:rtl w:val="0"/>
        </w:rPr>
      </w:r>
    </w:p>
    <w:p w:rsidR="00000000" w:rsidDel="00000000" w:rsidP="00000000" w:rsidRDefault="00000000" w:rsidRPr="00000000" w14:paraId="00000028">
      <w:pPr>
        <w:spacing w:line="276" w:lineRule="auto"/>
        <w:rPr>
          <w:b w:val="1"/>
        </w:rPr>
      </w:pPr>
      <w:r w:rsidDel="00000000" w:rsidR="00000000" w:rsidRPr="00000000">
        <w:rPr>
          <w:b w:val="1"/>
          <w:rtl w:val="0"/>
        </w:rPr>
        <w:t xml:space="preserve">Supplementary Figure S8 | Mutations in MMR genes, </w:t>
      </w:r>
      <w:r w:rsidDel="00000000" w:rsidR="00000000" w:rsidRPr="00000000">
        <w:rPr>
          <w:b w:val="1"/>
          <w:i w:val="1"/>
          <w:rtl w:val="0"/>
        </w:rPr>
        <w:t xml:space="preserve">POLE</w:t>
      </w:r>
      <w:r w:rsidDel="00000000" w:rsidR="00000000" w:rsidRPr="00000000">
        <w:rPr>
          <w:b w:val="1"/>
          <w:rtl w:val="0"/>
        </w:rPr>
        <w:t xml:space="preserve">, and </w:t>
      </w:r>
      <w:r w:rsidDel="00000000" w:rsidR="00000000" w:rsidRPr="00000000">
        <w:rPr>
          <w:b w:val="1"/>
          <w:i w:val="1"/>
          <w:rtl w:val="0"/>
        </w:rPr>
        <w:t xml:space="preserve">POLD1,</w:t>
      </w:r>
      <w:r w:rsidDel="00000000" w:rsidR="00000000" w:rsidRPr="00000000">
        <w:rPr>
          <w:b w:val="1"/>
          <w:rtl w:val="0"/>
        </w:rPr>
        <w:t xml:space="preserve"> across 108 tumours with microsatellite instability</w:t>
      </w:r>
    </w:p>
    <w:p w:rsidR="00000000" w:rsidDel="00000000" w:rsidP="00000000" w:rsidRDefault="00000000" w:rsidRPr="00000000" w14:paraId="00000029">
      <w:pPr>
        <w:rPr/>
      </w:pPr>
      <w:r w:rsidDel="00000000" w:rsidR="00000000" w:rsidRPr="00000000">
        <w:rPr>
          <w:rtl w:val="0"/>
        </w:rPr>
        <w:t xml:space="preserve">Pathogenic somatic and germline (grey dots) variants in MMR genes, </w:t>
      </w:r>
      <w:r w:rsidDel="00000000" w:rsidR="00000000" w:rsidRPr="00000000">
        <w:rPr>
          <w:i w:val="1"/>
          <w:rtl w:val="0"/>
        </w:rPr>
        <w:t xml:space="preserve">POLE,</w:t>
      </w:r>
      <w:r w:rsidDel="00000000" w:rsidR="00000000" w:rsidRPr="00000000">
        <w:rPr>
          <w:rtl w:val="0"/>
        </w:rPr>
        <w:t xml:space="preserve"> and </w:t>
      </w:r>
      <w:r w:rsidDel="00000000" w:rsidR="00000000" w:rsidRPr="00000000">
        <w:rPr>
          <w:i w:val="1"/>
          <w:rtl w:val="0"/>
        </w:rPr>
        <w:t xml:space="preserve">POLD1</w:t>
      </w:r>
      <w:r w:rsidDel="00000000" w:rsidR="00000000" w:rsidRPr="00000000">
        <w:rPr>
          <w:rtl w:val="0"/>
        </w:rPr>
        <w:t xml:space="preserve"> (rows; grouped by pathways, sorted by mutation rate) across 108 microsatellite instable tumours (columns). Variant classes predicted using snpEff </w:t>
      </w:r>
      <w:hyperlink r:id="rId12">
        <w:r w:rsidDel="00000000" w:rsidR="00000000" w:rsidRPr="00000000">
          <w:rPr>
            <w:b w:val="0"/>
            <w:color w:val="000000"/>
            <w:u w:val="none"/>
            <w:rtl w:val="0"/>
          </w:rPr>
          <w:t xml:space="preserve">(Cingolani </w:t>
        </w:r>
      </w:hyperlink>
      <w:hyperlink r:id="rId13">
        <w:r w:rsidDel="00000000" w:rsidR="00000000" w:rsidRPr="00000000">
          <w:rPr>
            <w:b w:val="0"/>
            <w:i w:val="1"/>
            <w:color w:val="000000"/>
            <w:u w:val="none"/>
            <w:rtl w:val="0"/>
          </w:rPr>
          <w:t xml:space="preserve">et al.</w:t>
        </w:r>
      </w:hyperlink>
      <w:hyperlink r:id="rId14">
        <w:r w:rsidDel="00000000" w:rsidR="00000000" w:rsidRPr="00000000">
          <w:rPr>
            <w:b w:val="0"/>
            <w:color w:val="000000"/>
            <w:u w:val="none"/>
            <w:rtl w:val="0"/>
          </w:rPr>
          <w:t xml:space="preserve"> 2012)</w:t>
        </w:r>
      </w:hyperlink>
      <w:r w:rsidDel="00000000" w:rsidR="00000000" w:rsidRPr="00000000">
        <w:rPr>
          <w:rtl w:val="0"/>
        </w:rPr>
        <w:t xml:space="preserve">. Top bars indicate the number of mono- and dinucleotide repeat indels. Figure is created using maftools </w:t>
      </w:r>
      <w:hyperlink r:id="rId15">
        <w:r w:rsidDel="00000000" w:rsidR="00000000" w:rsidRPr="00000000">
          <w:rPr>
            <w:b w:val="0"/>
            <w:color w:val="000000"/>
            <w:u w:val="none"/>
            <w:rtl w:val="0"/>
          </w:rPr>
          <w:t xml:space="preserve">(Mayakonda </w:t>
        </w:r>
      </w:hyperlink>
      <w:hyperlink r:id="rId16">
        <w:r w:rsidDel="00000000" w:rsidR="00000000" w:rsidRPr="00000000">
          <w:rPr>
            <w:b w:val="0"/>
            <w:i w:val="1"/>
            <w:color w:val="000000"/>
            <w:u w:val="none"/>
            <w:rtl w:val="0"/>
          </w:rPr>
          <w:t xml:space="preserve">et al</w:t>
        </w:r>
      </w:hyperlink>
      <w:hyperlink r:id="rId17">
        <w:r w:rsidDel="00000000" w:rsidR="00000000" w:rsidRPr="00000000">
          <w:rPr>
            <w:b w:val="0"/>
            <w:color w:val="000000"/>
            <w:u w:val="none"/>
            <w:rtl w:val="0"/>
          </w:rPr>
          <w:t xml:space="preserve">. 2018)</w:t>
        </w:r>
      </w:hyperlink>
      <w:r w:rsidDel="00000000" w:rsidR="00000000" w:rsidRPr="00000000">
        <w:rPr>
          <w:rtl w:val="0"/>
        </w:rPr>
        <w:t xml:space="preserve">.</w:t>
      </w:r>
    </w:p>
    <w:p w:rsidR="00000000" w:rsidDel="00000000" w:rsidP="00000000" w:rsidRDefault="00000000" w:rsidRPr="00000000" w14:paraId="0000002A">
      <w:pPr>
        <w:spacing w:line="276" w:lineRule="auto"/>
        <w:rPr>
          <w:b w:val="1"/>
        </w:rPr>
      </w:pPr>
      <w:r w:rsidDel="00000000" w:rsidR="00000000" w:rsidRPr="00000000">
        <w:rPr>
          <w:rtl w:val="0"/>
        </w:rPr>
      </w:r>
    </w:p>
    <w:p w:rsidR="00000000" w:rsidDel="00000000" w:rsidP="00000000" w:rsidRDefault="00000000" w:rsidRPr="00000000" w14:paraId="0000002B">
      <w:pPr>
        <w:spacing w:line="276" w:lineRule="auto"/>
        <w:rPr>
          <w:b w:val="1"/>
        </w:rPr>
      </w:pPr>
      <w:r w:rsidDel="00000000" w:rsidR="00000000" w:rsidRPr="00000000">
        <w:rPr>
          <w:b w:val="1"/>
          <w:rtl w:val="0"/>
        </w:rPr>
        <w:br w:type="textWrapping"/>
        <w:t xml:space="preserve">Supplementary Figure S9 | Tumours with microsatellite instability show increased rates of pathogenic mono- and dinucleotide repeat indels</w:t>
      </w:r>
    </w:p>
    <w:p w:rsidR="00000000" w:rsidDel="00000000" w:rsidP="00000000" w:rsidRDefault="00000000" w:rsidRPr="00000000" w14:paraId="0000002C">
      <w:pPr>
        <w:spacing w:line="276" w:lineRule="auto"/>
        <w:rPr/>
      </w:pPr>
      <w:r w:rsidDel="00000000" w:rsidR="00000000" w:rsidRPr="00000000">
        <w:rPr>
          <w:rtl w:val="0"/>
        </w:rPr>
        <w:t xml:space="preserve">Number of genes (out of 735 DDR genes; y-axis) divided by the rate of pathogenic events that are mono- and dinucleotide repeat indels (x-axis). Bottom lines indicate the rate across MMR related genes </w:t>
      </w:r>
      <w:r w:rsidDel="00000000" w:rsidR="00000000" w:rsidRPr="00000000">
        <w:rPr>
          <w:i w:val="1"/>
          <w:rtl w:val="0"/>
        </w:rPr>
        <w:t xml:space="preserve">PMS2, MSH3, MSH6, MLH1, MSH2, PMS1, MLH3, POLE, EXO1, POLD1</w:t>
      </w:r>
      <w:r w:rsidDel="00000000" w:rsidR="00000000" w:rsidRPr="00000000">
        <w:rPr>
          <w:rtl w:val="0"/>
        </w:rPr>
        <w:t xml:space="preserve"> (red), </w:t>
      </w:r>
      <w:r w:rsidDel="00000000" w:rsidR="00000000" w:rsidRPr="00000000">
        <w:rPr>
          <w:i w:val="1"/>
          <w:rtl w:val="0"/>
        </w:rPr>
        <w:t xml:space="preserve">TOP3A</w:t>
      </w:r>
      <w:r w:rsidDel="00000000" w:rsidR="00000000" w:rsidRPr="00000000">
        <w:rPr>
          <w:rtl w:val="0"/>
        </w:rPr>
        <w:t xml:space="preserve"> and </w:t>
      </w:r>
      <w:r w:rsidDel="00000000" w:rsidR="00000000" w:rsidRPr="00000000">
        <w:rPr>
          <w:i w:val="1"/>
          <w:rtl w:val="0"/>
        </w:rPr>
        <w:t xml:space="preserve">RAD50</w:t>
      </w:r>
      <w:r w:rsidDel="00000000" w:rsidR="00000000" w:rsidRPr="00000000">
        <w:rPr>
          <w:rtl w:val="0"/>
        </w:rPr>
        <w:t xml:space="preserve"> (blue) and all DDR genes (n=735; black).</w:t>
      </w:r>
    </w:p>
    <w:p w:rsidR="00000000" w:rsidDel="00000000" w:rsidP="00000000" w:rsidRDefault="00000000" w:rsidRPr="00000000" w14:paraId="0000002D">
      <w:pPr>
        <w:spacing w:line="276" w:lineRule="auto"/>
        <w:rPr>
          <w:b w:val="1"/>
        </w:rPr>
      </w:pP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b w:val="1"/>
          <w:rtl w:val="0"/>
        </w:rPr>
        <w:br w:type="textWrapping"/>
        <w:t xml:space="preserve">Supplementary Figure S10 | Pathogenic mutations in multiple MMR genes associates with elevated numbers of mono- and dinucleotide repeat indels</w:t>
      </w:r>
    </w:p>
    <w:p w:rsidR="00000000" w:rsidDel="00000000" w:rsidP="00000000" w:rsidRDefault="00000000" w:rsidRPr="00000000" w14:paraId="0000002F">
      <w:pPr>
        <w:spacing w:line="276" w:lineRule="auto"/>
        <w:rPr>
          <w:b w:val="1"/>
        </w:rPr>
      </w:pPr>
      <w:r w:rsidDel="00000000" w:rsidR="00000000" w:rsidRPr="00000000">
        <w:rPr>
          <w:rtl w:val="0"/>
        </w:rPr>
        <w:t xml:space="preserve">Number of indels in mono- and dinucleotide indels among tumours with one or more pathogenic mutations in MMR genes as well as </w:t>
      </w:r>
      <w:r w:rsidDel="00000000" w:rsidR="00000000" w:rsidRPr="00000000">
        <w:rPr>
          <w:i w:val="1"/>
          <w:rtl w:val="0"/>
        </w:rPr>
        <w:t xml:space="preserve">POLE</w:t>
      </w:r>
      <w:r w:rsidDel="00000000" w:rsidR="00000000" w:rsidRPr="00000000">
        <w:rPr>
          <w:rtl w:val="0"/>
        </w:rPr>
        <w:t xml:space="preserve"> and </w:t>
      </w:r>
      <w:r w:rsidDel="00000000" w:rsidR="00000000" w:rsidRPr="00000000">
        <w:rPr>
          <w:i w:val="1"/>
          <w:rtl w:val="0"/>
        </w:rPr>
        <w:t xml:space="preserve">POLD1</w:t>
      </w:r>
      <w:r w:rsidDel="00000000" w:rsidR="00000000" w:rsidRPr="00000000">
        <w:rPr>
          <w:rtl w:val="0"/>
        </w:rPr>
        <w:t xml:space="preserve">, statistically explored by wilcoxon rank-sum test (un-paired, two-directional). We observed only a single tumor with mutations in five or more MMR genes, and did not statistically test these.</w:t>
      </w:r>
      <w:r w:rsidDel="00000000" w:rsidR="00000000" w:rsidRPr="00000000">
        <w:rPr>
          <w:rtl w:val="0"/>
        </w:rPr>
      </w:r>
    </w:p>
    <w:p w:rsidR="00000000" w:rsidDel="00000000" w:rsidP="00000000" w:rsidRDefault="00000000" w:rsidRPr="00000000" w14:paraId="00000030">
      <w:pPr>
        <w:spacing w:line="276" w:lineRule="auto"/>
        <w:rPr>
          <w:b w:val="1"/>
        </w:rPr>
      </w:pPr>
      <w:r w:rsidDel="00000000" w:rsidR="00000000" w:rsidRPr="00000000">
        <w:rPr>
          <w:rtl w:val="0"/>
        </w:rPr>
      </w:r>
    </w:p>
    <w:p w:rsidR="00000000" w:rsidDel="00000000" w:rsidP="00000000" w:rsidRDefault="00000000" w:rsidRPr="00000000" w14:paraId="00000031">
      <w:pPr>
        <w:spacing w:line="276" w:lineRule="auto"/>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line="276" w:lineRule="auto"/>
        <w:rPr>
          <w:b w:val="1"/>
        </w:rPr>
      </w:pPr>
      <w:r w:rsidDel="00000000" w:rsidR="00000000" w:rsidRPr="00000000">
        <w:rPr>
          <w:rtl w:val="0"/>
        </w:rPr>
      </w:r>
    </w:p>
    <w:p w:rsidR="00000000" w:rsidDel="00000000" w:rsidP="00000000" w:rsidRDefault="00000000" w:rsidRPr="00000000" w14:paraId="00000034">
      <w:pPr>
        <w:spacing w:line="276" w:lineRule="auto"/>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480" w:right="0" w:hanging="480"/>
        <w:jc w:val="left"/>
        <w:rPr/>
      </w:pPr>
      <w:hyperlink r:id="rId18">
        <w:r w:rsidDel="00000000" w:rsidR="00000000" w:rsidRPr="00000000">
          <w:rPr>
            <w:color w:val="000000"/>
            <w:u w:val="none"/>
            <w:rtl w:val="0"/>
          </w:rPr>
          <w:t xml:space="preserve">Cingolani, Pablo, Adrian Platts, Le Lily Wang, Melissa Coon, Tung Nguyen, Luan Wang, Susan J. Land, Xiangyi Lu, and Douglas M. Ruden. 2012. “A Program for Annotating and Predicting the Effects of Single Nucleotide Polymorphisms, SnpEff: SNPs in the Genome of Drosophila Melanogaster Strain w1118; Iso-2; Iso-3.” </w:t>
        </w:r>
      </w:hyperlink>
      <w:hyperlink r:id="rId19">
        <w:r w:rsidDel="00000000" w:rsidR="00000000" w:rsidRPr="00000000">
          <w:rPr>
            <w:i w:val="1"/>
            <w:color w:val="000000"/>
            <w:u w:val="none"/>
            <w:rtl w:val="0"/>
          </w:rPr>
          <w:t xml:space="preserve">Fly</w:t>
        </w:r>
      </w:hyperlink>
      <w:hyperlink r:id="rId20">
        <w:r w:rsidDel="00000000" w:rsidR="00000000" w:rsidRPr="00000000">
          <w:rPr>
            <w:color w:val="000000"/>
            <w:u w:val="none"/>
            <w:rtl w:val="0"/>
          </w:rPr>
          <w:t xml:space="preserve"> 6 (2): 80–92.</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pPr>
      <w:hyperlink r:id="rId21">
        <w:r w:rsidDel="00000000" w:rsidR="00000000" w:rsidRPr="00000000">
          <w:rPr>
            <w:color w:val="000000"/>
            <w:u w:val="none"/>
            <w:rtl w:val="0"/>
          </w:rPr>
          <w:t xml:space="preserve">Mayakonda, Anand, De-Chen Lin, Yassen Assenov, Christoph Plass, and H. Phillip Koeffler. 2018. “Maftools: Efficient and Comprehensive Analysis of Somatic Variants in Cancer.” </w:t>
        </w:r>
      </w:hyperlink>
      <w:hyperlink r:id="rId22">
        <w:r w:rsidDel="00000000" w:rsidR="00000000" w:rsidRPr="00000000">
          <w:rPr>
            <w:i w:val="1"/>
            <w:color w:val="000000"/>
            <w:u w:val="none"/>
            <w:rtl w:val="0"/>
          </w:rPr>
          <w:t xml:space="preserve">Genome Research</w:t>
        </w:r>
      </w:hyperlink>
      <w:hyperlink r:id="rId23">
        <w:r w:rsidDel="00000000" w:rsidR="00000000" w:rsidRPr="00000000">
          <w:rPr>
            <w:color w:val="000000"/>
            <w:u w:val="none"/>
            <w:rtl w:val="0"/>
          </w:rPr>
          <w:t xml:space="preserve"> 28 (11): 1747–56.</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paperpile.com/b/JKXbOh/pCypZ" TargetMode="External"/><Relationship Id="rId11" Type="http://schemas.openxmlformats.org/officeDocument/2006/relationships/hyperlink" Target="https://paperpile.com/c/JKXbOh/cCSvL" TargetMode="External"/><Relationship Id="rId22" Type="http://schemas.openxmlformats.org/officeDocument/2006/relationships/hyperlink" Target="http://paperpile.com/b/JKXbOh/cCSvL" TargetMode="External"/><Relationship Id="rId10" Type="http://schemas.openxmlformats.org/officeDocument/2006/relationships/hyperlink" Target="https://paperpile.com/c/JKXbOh/cCSvL" TargetMode="External"/><Relationship Id="rId21" Type="http://schemas.openxmlformats.org/officeDocument/2006/relationships/hyperlink" Target="http://paperpile.com/b/JKXbOh/cCSvL" TargetMode="External"/><Relationship Id="rId13" Type="http://schemas.openxmlformats.org/officeDocument/2006/relationships/hyperlink" Target="https://paperpile.com/c/JKXbOh/pCypZ" TargetMode="External"/><Relationship Id="rId12" Type="http://schemas.openxmlformats.org/officeDocument/2006/relationships/hyperlink" Target="https://paperpile.com/c/JKXbOh/pCypZ" TargetMode="External"/><Relationship Id="rId23" Type="http://schemas.openxmlformats.org/officeDocument/2006/relationships/hyperlink" Target="http://paperpile.com/b/JKXbOh/cCSv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JKXbOh/cCSvL" TargetMode="External"/><Relationship Id="rId15" Type="http://schemas.openxmlformats.org/officeDocument/2006/relationships/hyperlink" Target="https://paperpile.com/c/JKXbOh/cCSvL" TargetMode="External"/><Relationship Id="rId14" Type="http://schemas.openxmlformats.org/officeDocument/2006/relationships/hyperlink" Target="https://paperpile.com/c/JKXbOh/pCypZ" TargetMode="External"/><Relationship Id="rId17" Type="http://schemas.openxmlformats.org/officeDocument/2006/relationships/hyperlink" Target="https://paperpile.com/c/JKXbOh/cCSvL" TargetMode="External"/><Relationship Id="rId16" Type="http://schemas.openxmlformats.org/officeDocument/2006/relationships/hyperlink" Target="https://paperpile.com/c/JKXbOh/cCSvL" TargetMode="External"/><Relationship Id="rId5" Type="http://schemas.openxmlformats.org/officeDocument/2006/relationships/styles" Target="styles.xml"/><Relationship Id="rId19" Type="http://schemas.openxmlformats.org/officeDocument/2006/relationships/hyperlink" Target="http://paperpile.com/b/JKXbOh/pCypZ" TargetMode="External"/><Relationship Id="rId6" Type="http://schemas.openxmlformats.org/officeDocument/2006/relationships/hyperlink" Target="https://paperpile.com/c/JKXbOh/pCypZ" TargetMode="External"/><Relationship Id="rId18" Type="http://schemas.openxmlformats.org/officeDocument/2006/relationships/hyperlink" Target="http://paperpile.com/b/JKXbOh/pCypZ" TargetMode="External"/><Relationship Id="rId7" Type="http://schemas.openxmlformats.org/officeDocument/2006/relationships/hyperlink" Target="https://paperpile.com/c/JKXbOh/pCypZ" TargetMode="External"/><Relationship Id="rId8" Type="http://schemas.openxmlformats.org/officeDocument/2006/relationships/hyperlink" Target="https://paperpile.com/c/JKXbOh/pCyp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