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fleets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fleet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mutating actions for workspace or ticket updates.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fleet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Future versions of the same demo should also show bidirectional OpenClaw interop and Ralph-style verified coding actions: OpenClaw can submit work into Crawfish as an external control surface, while selected coding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route out through the OpenClaw Gateway agent loop and complete only after deterministic verification passes.</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already covers one runnable Hero P0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inspect &lt;action-id&gt;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examples/hero-fleet/Crawfish.toml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examples/hero-fleet/agents/</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especially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fleet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fleet-wide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fleet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an interactive coding loop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fleet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fleet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fleet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fleet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fleet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coding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fleet.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fleet: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coding-heavy actions such as </w:t>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can route out to OpenClaw or another harness and run under a 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coding-heavy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coding-heavy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fleet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coding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fleet</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fleet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coding-heavy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such as coding agents</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coding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Helvetica Neue" w:hAnsi="Helvetica Neue" w:cs="Helvetica Neue"/>
          <w:sz w:val="24"/>
          <w:sz-cs w:val="24"/>
          <w:spacing w:val="0"/>
          <w:color w:val="181F26"/>
        </w:rPr>
        <w:t xml:space="preserve">An </w:t>
      </w:r>
      <w:r>
        <w:rPr>
          <w:rFonts w:ascii="Helvetica Neue" w:hAnsi="Helvetica Neue" w:cs="Helvetica Neue"/>
          <w:sz w:val="24"/>
          <w:sz-cs w:val="24"/>
          <w:u w:val="single"/>
          <w:spacing w:val="0"/>
          <w:color w:val="0000E9"/>
        </w:rPr>
        <w:t xml:space="preserve">OpenClaw plugin</w:t>
      </w:r>
      <w:r>
        <w:rPr>
          <w:rFonts w:ascii="Helvetica Neue" w:hAnsi="Helvetica Neue" w:cs="Helvetica Neue"/>
          <w:sz w:val="24"/>
          <w:sz-cs w:val="24"/>
          <w:spacing w:val="0"/>
          <w:color w:val="181F26"/>
        </w:rPr>
        <w:t xml:space="preserve"> should expose Crawfish as both an agent tool and a Gateway RPC surface for durable fleet work.</w:t>
      </w:r>
    </w:p>
    <w:p>
      <w:pPr>
        <w:spacing w:after="240"/>
      </w:pPr>
      <w:r>
        <w:rPr>
          <w:rFonts w:ascii="Helvetica Neue" w:hAnsi="Helvetica Neue" w:cs="Helvetica Neue"/>
          <w:sz w:val="24"/>
          <w:sz-cs w:val="24"/>
          <w:spacing w:val="0"/>
          <w:color w:val="181F26"/>
        </w:rPr>
        <w:t xml:space="preserve">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crawfish.action.cancel</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coding action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coding.patch.apply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fleet,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fleet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production same-device encounter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consent-grant and capability-lease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emission and revocation handling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plugin and Gateway RPC bridge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coding-heavy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fleet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fleet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fleet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step, such as posting a write-back comment or editing a local workspace, requires approval.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fleet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fleet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coding actions, such as patch planning or deep code editing, can route into OpenClaw or another harness and run under a Ralph-style verify loop</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fleet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fleet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fleet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continues execution and rejection terminates or expires it according to policy.</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fleet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explains the trigger, current continuity mode,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OpenClaw plugin, RPC, and Gateway adapter interfaces so P1 can add bidirectional OpenClaw interop without changing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coding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fleet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typically optimized for a class of work such as coding. Examples include ACP-compatible coding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coding-heavy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fleet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