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will be remote-agent interoperability.</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Local-first harness routing</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prefers local Claude Code and Codex wrappers before any remote harness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still route out through OpenClaw as a proposal-only execution surface when local harnesses are absent or unsuitable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no approved harness route is 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local wrappers, OpenClaw, and deterministic fallback are all forced through the same deterministic verifier</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traces, datasets, evaluators, review, and alerts belong to one operational loop.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falls back to OpenClaw when configured, then to deterministic planning when the contract allows it.</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traces, evaluation,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and replay experiments.</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 and outbound in P1, ACP-compatible harness adapters and A2A deferred</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evaluators, dataset-backed review, pairwise experiments,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packs, treaty semantics, and federation-grade governance escalation</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OpenClaw or another harness and run under a verified execution strategy when deterministic proof is required</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