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Design and Implementation of a Context-Aware Tourist Guide System Incorporating Machine Learning Recommendations and Generative AI</w:t>
      </w:r>
    </w:p>
    <w:p>
      <w:pPr>
        <w:pStyle w:val="Heading1"/>
        <w:keepNext/>
        <w:spacing w:after="140" w:before="280"/>
      </w:pPr>
      <w:r>
        <w:rPr>
          <w:rFonts w:ascii="Times New Roman" w:cs="Times New Roman" w:eastAsia="Times New Roman" w:hAnsi="Times New Roman"/>
          <w:b/>
          <w:bCs/>
          <w:sz w:val="28"/>
          <w:szCs w:val="28"/>
        </w:rPr>
        <w:t xml:space="preserve">3.1 Introduction</w:t>
      </w:r>
    </w:p>
    <w:p>
      <w:pPr>
        <w:spacing w:after="140" w:line="276"/>
        <w:jc w:val="both"/>
      </w:pPr>
      <w:r>
        <w:rPr>
          <w:rFonts w:ascii="Times New Roman" w:cs="Times New Roman" w:eastAsia="Times New Roman" w:hAnsi="Times New Roman"/>
          <w:sz w:val="24"/>
          <w:szCs w:val="24"/>
        </w:rPr>
        <w:t xml:space="preserve">A context-aware tourist guide combines three technical problems that are usually studied separately: recognizing a physical object from a smartphone photograph, producing a trustworthy natural-language explanation of it, and deciding when and what to present to a moving user. The proposed GeoGuide system would let a tourist point a camera at a building to receive an explanation, ask an AI guide follow-up questions, receive a notification when arriving near a place of interest, and see recommendations based on declared interests.</w:t>
      </w:r>
    </w:p>
    <w:p>
      <w:pPr>
        <w:spacing w:after="140" w:line="276"/>
        <w:jc w:val="both"/>
      </w:pPr>
      <w:r>
        <w:rPr>
          <w:rFonts w:ascii="Times New Roman" w:cs="Times New Roman" w:eastAsia="Times New Roman" w:hAnsi="Times New Roman"/>
          <w:sz w:val="24"/>
          <w:szCs w:val="24"/>
        </w:rPr>
        <w:t xml:space="preserve">This review examines eighteen scientific works [1]–[18]: six on visual landmark recognition, five on grounded generation and trust in language models, three on large language models in tourism, and four on context-aware recommendation, proactive content delivery and regional audio-guide supply. Fourteen of the eighteen were published in 2021 or later; earlier works [1], [2], [7], [16] are retained for their foundational role. The review distinguishes what each work demonstrated from what it merely suggests for the proposed design, and it treats numerical results as valid only for their own datasets and protocols. Appendix A states for every source whether its numbers were checked against the full text or only against the abstract. The synthesis supports a modular architecture in which recognition, retrieval of verified content, answer generation and notification logic can be evaluated separately.</w:t>
      </w:r>
    </w:p>
    <w:p>
      <w:pPr>
        <w:pStyle w:val="Heading1"/>
        <w:keepNext/>
        <w:spacing w:after="140" w:before="280"/>
      </w:pPr>
      <w:r>
        <w:rPr>
          <w:rFonts w:ascii="Times New Roman" w:cs="Times New Roman" w:eastAsia="Times New Roman" w:hAnsi="Times New Roman"/>
          <w:b/>
          <w:bCs/>
          <w:sz w:val="28"/>
          <w:szCs w:val="28"/>
        </w:rPr>
        <w:t xml:space="preserve">3.2 Visual Recognition of Landmarks</w:t>
      </w:r>
    </w:p>
    <w:p>
      <w:pPr>
        <w:spacing w:after="140" w:line="276"/>
        <w:jc w:val="both"/>
      </w:pPr>
      <w:r>
        <w:rPr>
          <w:rFonts w:ascii="Times New Roman" w:cs="Times New Roman" w:eastAsia="Times New Roman" w:hAnsi="Times New Roman"/>
          <w:sz w:val="24"/>
          <w:szCs w:val="24"/>
        </w:rPr>
        <w:t xml:space="preserve">Weyand et al. [1] frame landmark recognition as fine-grained, instance-level recognition and retrieval rather than generic scene classification. Their Google Landmarks Dataset v2 contains over 5 million images and over 200,000 distinct landmark labels sourced from Wikimedia Commons, with a test set of 118,000 annotated images; the authors report that embeddings trained on it transfer well to independent retrieval datasets [1]. For GeoGuide the dataset is evidence that landmark coverage depends on very large, crowd-sourced image collections. It does not establish accuracy for individual buildings in the pilot regions of Kazakhstan.</w:t>
      </w:r>
    </w:p>
    <w:p>
      <w:pPr>
        <w:spacing w:after="140" w:line="276"/>
        <w:jc w:val="both"/>
      </w:pPr>
      <w:r>
        <w:rPr>
          <w:rFonts w:ascii="Times New Roman" w:cs="Times New Roman" w:eastAsia="Times New Roman" w:hAnsi="Times New Roman"/>
          <w:sz w:val="24"/>
          <w:szCs w:val="24"/>
        </w:rPr>
        <w:t xml:space="preserve">Tan et al. [2] describe a mobile application that recognizes Wikipedia-featured sites with a neural network trained on crowd-sourced images. They report that visually similar sites and urban clutter make recognition harder, and that contextual signals such as location, orientation and attention patterns, together with unsupervised de-noising of crowd-sourced training images, improve classification [2]. This supports narrowing the candidate set with GPS before visual matching. Razali et al. [3] compare four pretrained CNN feature extractors, four feature-selection methods and six classifiers for smart-tourism landmark recognition. Their best baseline combination, EfficientNet average-pool features with a 1D CNN classifier and no feature selection, reaches 100% accuracy on their own nine-category campus-landmark dataset of about 100 images per category and 94.26% on the public Scene-15 benchmark [3]. Adding linear discriminant analysis (LDA) reduces the feature dimensionality by 99.69% and 98.90% on the two datasets and, on Scene-15, raises the accuracy of the linear SVM and 1D CNN classifiers to 0.99 [3]. The result shows two cautions: the own dataset was photographed with one camera between 10:00 and 11:00 a.m. [3], so it contains no lighting variation, and a closed-set classifier trained on a very small dataset can saturate without proving generalization; Scene-15 measures scene categories rather than identification of specific buildings. The authors list evaluation of the computational cost of the LDA step and testing on further benchmark datasets as future work [3].</w:t>
      </w:r>
    </w:p>
    <w:p>
      <w:pPr>
        <w:spacing w:after="140" w:line="276"/>
        <w:jc w:val="both"/>
      </w:pPr>
      <w:r>
        <w:rPr>
          <w:rFonts w:ascii="Times New Roman" w:cs="Times New Roman" w:eastAsia="Times New Roman" w:hAnsi="Times New Roman"/>
          <w:sz w:val="24"/>
          <w:szCs w:val="24"/>
        </w:rPr>
        <w:t xml:space="preserve">Pretrained representation models offer an alternative to training one classifier per landmark. CLIP learns a joint image–text space from 400 million image–text pairs and is evaluated on more than 30 datasets, including geo-localization and fine-grained classification, where it is often competitive with supervised baselines without dataset-specific training [4]. DINOv2 scales self-supervised pretraining with an automatically curated dataset, distils a one-billion-parameter vision transformer into smaller models, and is reported to outperform OpenCLIP on most image- and pixel-level benchmarks [5]. Neither paper is specific to tourism. Their relevance is that image embeddings can be compared with a reference collection of known objects, so that a new landmark is added by indexing photographs rather than retraining a classifier. Whether this works for the pilot objects in Kazakhstan under varied lighting and viewpoints is an empirical question for the project.</w:t>
      </w:r>
    </w:p>
    <w:p>
      <w:pPr>
        <w:spacing w:after="140" w:line="276"/>
        <w:jc w:val="both"/>
      </w:pPr>
      <w:r>
        <w:rPr>
          <w:rFonts w:ascii="Times New Roman" w:cs="Times New Roman" w:eastAsia="Times New Roman" w:hAnsi="Times New Roman"/>
          <w:sz w:val="24"/>
          <w:szCs w:val="24"/>
        </w:rPr>
        <w:t xml:space="preserve">AutoTour [6] is the closest system to the proposed application in this source set. It annotates landmarks in a user photograph and generates narration by combining the photograph with nearby geospatial data from open map databases. The pipeline filters map features around the user's GPS position, detects landmarks with a vision-language model, matches them to map entities by estimated distance and direction, and describes them with a large language model, without task-specific training; the authors state that it handles both famous and lesser-known landmarks [6]. In the authors' evaluation, 35 volunteers collected 134 photos in five cities (Hong Kong, Beijing, Shanghai, Shenzhen and Los Angeles) and rated the output on a 1-4 scale; the weighted average was 3.579 [6]. The introduction of the same paper mentions 125 photos; the evaluation section reports 134, which is used here. On a human-annotated subset, a geometric area-overlap matcher reached recall 0.776, precision 0.923 and F1 0.84 and had a higher F1 than each of five language models used as matchers (best 0.79), with no hallucination and a matching time under one second, whereas the full pipeline needed about 20 s per photo (about 35 s with bounding-box refinement) at an estimated cost of about USD 0.03 [6]. The authors name dependence on GPS accuracy, especially in dense urban areas and indoors, as a main limitation [6]. Three limits matter for GeoGuide: the ratings are subjective user scores rather than ground-truth identification accuracy; the system depends on OpenStreetMap coverage of the target buildings; and the statement that Google Cloud Vision performs poorly on less prominent features rests on the authors' own tests, for which no figures are given [6]. The paper describes no proactive notification or interest-based personalization, and it is an arXiv preprint (v1, January 2026) without a named venue, so it is treated as unreviewed.</w:t>
      </w:r>
    </w:p>
    <w:p>
      <w:pPr>
        <w:pStyle w:val="Heading1"/>
        <w:keepNext/>
        <w:spacing w:after="140" w:before="280"/>
      </w:pPr>
      <w:r>
        <w:rPr>
          <w:rFonts w:ascii="Times New Roman" w:cs="Times New Roman" w:eastAsia="Times New Roman" w:hAnsi="Times New Roman"/>
          <w:b/>
          <w:bCs/>
          <w:sz w:val="28"/>
          <w:szCs w:val="28"/>
        </w:rPr>
        <w:t xml:space="preserve">3.3 Grounded Generation and Trust in Generated Answers</w:t>
      </w:r>
    </w:p>
    <w:p>
      <w:pPr>
        <w:spacing w:after="140" w:line="276"/>
        <w:jc w:val="both"/>
      </w:pPr>
      <w:r>
        <w:rPr>
          <w:rFonts w:ascii="Times New Roman" w:cs="Times New Roman" w:eastAsia="Times New Roman" w:hAnsi="Times New Roman"/>
          <w:sz w:val="24"/>
          <w:szCs w:val="24"/>
        </w:rPr>
        <w:t xml:space="preserve">Lewis et al. [7] introduce retrieval-augmented generation (RAG), which combines a pretrained sequence-to-sequence model with a dense vector index of Wikipedia accessed by a neural retriever. They report state-of-the-art results on three open-domain question-answering tasks and more specific, diverse and factual generation than a parametric-only baseline [7]. Gao et al. [8] survey RAG for large language models, describing naive, advanced and modular paradigms. They identify hallucination, outdated knowledge and untraceable reasoning as the problems that retrieval addresses, and they review evaluation frameworks and benchmarks [8]. For GeoGuide this suggests answering from a curated knowledge base of verified pilot objects in Kazakhstan instead of model memory, so that content can be corrected without retraining and each answer can be traced to a record.</w:t>
      </w:r>
    </w:p>
    <w:p>
      <w:pPr>
        <w:spacing w:after="140" w:line="276"/>
        <w:jc w:val="both"/>
      </w:pPr>
      <w:r>
        <w:rPr>
          <w:rFonts w:ascii="Times New Roman" w:cs="Times New Roman" w:eastAsia="Times New Roman" w:hAnsi="Times New Roman"/>
          <w:sz w:val="24"/>
          <w:szCs w:val="24"/>
        </w:rPr>
        <w:t xml:space="preserve">Ji et al. [9] survey hallucination in natural language generation, covering metrics, mitigation methods and task-specific progress, with a section on large language models [9]. Liu et al. [10] show why fluent output is not evidence of reliability: in a human evaluation of four generative search engines that give in-line citations, on average only 51.5% of generated sentences were fully supported by their citations and only 74.5% of citations supported their associated sentences [10]. These results concern web search engines, not a domain-specific guide, but they define measurable properties, citation recall and citation precision, that GeoGuide can adopt before labelling an answer as verified. Es et al. [11] propose Ragas, a set of metrics for evaluating a retrieval-augmented pipeline without human reference answers, covering whether the retriever returns focused passages and whether the generator uses them faithfully [11]. Such automatic metrics would still need validation against human judgments on the project's own questions.</w:t>
      </w:r>
    </w:p>
    <w:p>
      <w:pPr>
        <w:pStyle w:val="Heading1"/>
        <w:keepNext/>
        <w:spacing w:after="140" w:before="280"/>
      </w:pPr>
      <w:r>
        <w:rPr>
          <w:rFonts w:ascii="Times New Roman" w:cs="Times New Roman" w:eastAsia="Times New Roman" w:hAnsi="Times New Roman"/>
          <w:b/>
          <w:bCs/>
          <w:sz w:val="28"/>
          <w:szCs w:val="28"/>
        </w:rPr>
        <w:t xml:space="preserve">3.4 Large Language Models in Tourism</w:t>
      </w:r>
    </w:p>
    <w:p>
      <w:pPr>
        <w:spacing w:after="140" w:line="276"/>
        <w:jc w:val="both"/>
      </w:pPr>
      <w:r>
        <w:rPr>
          <w:rFonts w:ascii="Times New Roman" w:cs="Times New Roman" w:eastAsia="Times New Roman" w:hAnsi="Times New Roman"/>
          <w:sz w:val="24"/>
          <w:szCs w:val="24"/>
        </w:rPr>
        <w:t xml:space="preserve">Xie et al. [12] introduce TravelPlanner, a benchmark with 1,225 planning intents and tools over nearly four million data records, and report that even GPT-4 achieved only a 0.6% success rate; agents struggled to stay on task, select tools and track multiple constraints [12]. Multi-day itinerary planning is harder than explaining one building, and GeoGuide excludes itinerary planning from its scope. The finding nevertheless supports keeping facts and hard constraints, such as opening hours and distances, in deterministic data rather than relying on model memory.</w:t>
      </w:r>
    </w:p>
    <w:p>
      <w:pPr>
        <w:spacing w:after="140" w:line="276"/>
        <w:jc w:val="both"/>
      </w:pPr>
      <w:r>
        <w:rPr>
          <w:rFonts w:ascii="Times New Roman" w:cs="Times New Roman" w:eastAsia="Times New Roman" w:hAnsi="Times New Roman"/>
          <w:sz w:val="24"/>
          <w:szCs w:val="24"/>
        </w:rPr>
        <w:t xml:space="preserve">Dong et al. [13] evaluated 4,800 responses from three generative AI platforms on six dimensions: accuracy, objectivity, relevance, completeness, timeliness and understandability. An LLM served as evaluator. They conclude that quality varies significantly with platform, prompting strategy and question type, and describe this as "conditional trustworthiness" [13]. They also report that reasoning-based prompts generally outperform simple prompts and that evaluative questions generally produced higher-quality outputs than factual queries [13], which matters because the GeoGuide chat is meant to answer factual questions about places. The authors present the language-model evaluator as validated, but the consulted abstract gives no figures on agreement with human raters, so GeoGuide should still check a sample against human judgments. Qi et al. [14] propose LETToT, a label-free evaluation of LLMs in tourism that uses expert-derived tree-of-thought structures, report relative quality gains of 4.99–14.15% of the optimized prompts over baseline prompts, evaluate models of 32B to 671B parameters, and argue that annotated benchmarks are expensive and models still hallucinate in this domain [14]. The relevance is methodological: expert-defined criteria can replace large labelled benchmarks, which do not exist for Kazakhstani tourist sites.</w:t>
      </w:r>
    </w:p>
    <w:p>
      <w:pPr>
        <w:pStyle w:val="Heading1"/>
        <w:keepNext/>
        <w:spacing w:after="140" w:before="280"/>
      </w:pPr>
      <w:r>
        <w:rPr>
          <w:rFonts w:ascii="Times New Roman" w:cs="Times New Roman" w:eastAsia="Times New Roman" w:hAnsi="Times New Roman"/>
          <w:b/>
          <w:bCs/>
          <w:sz w:val="28"/>
          <w:szCs w:val="28"/>
        </w:rPr>
        <w:t xml:space="preserve">3.5 Context-Aware Recommendation and Proactive Delivery</w:t>
      </w:r>
    </w:p>
    <w:p>
      <w:pPr>
        <w:spacing w:after="140" w:line="276"/>
        <w:jc w:val="both"/>
      </w:pPr>
      <w:r>
        <w:rPr>
          <w:rFonts w:ascii="Times New Roman" w:cs="Times New Roman" w:eastAsia="Times New Roman" w:hAnsi="Times New Roman"/>
          <w:sz w:val="24"/>
          <w:szCs w:val="24"/>
        </w:rPr>
        <w:t xml:space="preserve">Khan et al. [15] reviewed 143 articles from 2012 to 2020 on contextual suggestion and recommendation in e-tourism, where context includes location, time of day and weekday versus weekend. They report content-based filtering, collaborative filtering, preference-based ranking and language modelling as common approaches, with precision, normalized discounted cumulative gain and mean reciprocal rank as common measures [15]. The review predates generative AI guides and, in the summary consulted, does not treat camera input. Lanir et al. [16] address the tension between proactive and user-initiated content in a location-aware mobile museum guide, comparing three versions in a controlled study with real museum visitors [16]. The consulted abstract does not give effect sizes, so the full article should be read before findings are quoted.</w:t>
      </w:r>
    </w:p>
    <w:p>
      <w:pPr>
        <w:spacing w:after="140" w:line="276"/>
        <w:jc w:val="both"/>
      </w:pPr>
      <w:r>
        <w:rPr>
          <w:rFonts w:ascii="Times New Roman" w:cs="Times New Roman" w:eastAsia="Times New Roman" w:hAnsi="Times New Roman"/>
          <w:sz w:val="24"/>
          <w:szCs w:val="24"/>
        </w:rPr>
        <w:t xml:space="preserve">Sasaki et al. [17] study how to define geofences for point-of-interest notifiers aimed at walking tourists. They find that manually set geofences reduce location relevance and user coverage, and they generate geofences from GPS trajectories with genetic algorithms [17]. Their experiments use synthetic GPS trajectories generated from the OpenStreetMap road network around three POIs in one park in Akita, Japan, with a 75 m scanning radius (the search space of the optimization, not a recommended notification radius), a test set of 200 trajectories, and a survey with five subjects in each of two groups [17], so the findings are indicative rather than general. Regional content supply is described by Mamrayeva et al. [18]: the izi.Travel platform hosted 94 audio guides for Kazakhstan (53 tours and 41 museum guides) across 24 localities; Russian had the most audio tours (81), followed by English (58) and Kazakh (53). The authors describe the number of audiovisual routes as small and several tours as underdeveloped [18].</w:t>
      </w:r>
    </w:p>
    <w:p>
      <w:pPr>
        <w:pStyle w:val="Heading1"/>
        <w:keepNext/>
        <w:spacing w:after="140" w:before="280"/>
      </w:pPr>
      <w:r>
        <w:rPr>
          <w:rFonts w:ascii="Times New Roman" w:cs="Times New Roman" w:eastAsia="Times New Roman" w:hAnsi="Times New Roman"/>
          <w:b/>
          <w:bCs/>
          <w:sz w:val="28"/>
          <w:szCs w:val="28"/>
        </w:rPr>
        <w:t xml:space="preserve">3.6 Comparative Literature Analysis</w:t>
      </w:r>
    </w:p>
    <w:p>
      <w:pPr>
        <w:spacing w:after="140" w:line="276"/>
        <w:jc w:val="both"/>
      </w:pPr>
      <w:r>
        <w:rPr>
          <w:rFonts w:ascii="Times New Roman" w:cs="Times New Roman" w:eastAsia="Times New Roman" w:hAnsi="Times New Roman"/>
          <w:sz w:val="24"/>
          <w:szCs w:val="24"/>
        </w:rPr>
        <w:t xml:space="preserve">Table 3.1 consolidates the evidence. Results belong to the cited version and original setting; larger numbers in different rows do not imply a better system. In the limitations column, "A" marks limitations stated by the authors and "R" marks limitations inferred in this review from the reported design. The last column states implications for the proposed thesis rather than implemented capabilities.</w:t>
      </w:r>
    </w:p>
    <w:p>
      <w:pPr>
        <w:spacing w:after="140" w:line="276"/>
        <w:jc w:val="both"/>
      </w:pPr>
      <w:r>
        <w:rPr>
          <w:rFonts w:ascii="Times New Roman" w:cs="Times New Roman" w:eastAsia="Times New Roman" w:hAnsi="Times New Roman"/>
          <w:sz w:val="24"/>
          <w:szCs w:val="24"/>
        </w:rPr>
        <w:t xml:space="preserve">Table 3.1 is printed on the following landscape pages.</w:t>
      </w:r>
    </w:p>
    <w:p>
      <w:pPr>
        <w:sectPr>
          <w:footerReference w:type="default" r:id="rId6"/>
          <w:pgSz w:w="11906" w:h="16838" w:orient="portrait"/>
          <w:pgMar w:top="1417" w:right="1417" w:bottom="1417" w:left="1417" w:header="708" w:footer="708" w:gutter="0"/>
          <w:pgNumType/>
          <w:docGrid w:linePitch="360"/>
        </w:sectPr>
      </w:pPr>
    </w:p>
    <w:p>
      <w:pPr>
        <w:keepNext/>
        <w:spacing w:after="80" w:before="120"/>
      </w:pPr>
      <w:r>
        <w:rPr>
          <w:rFonts w:ascii="Times New Roman" w:cs="Times New Roman" w:eastAsia="Times New Roman" w:hAnsi="Times New Roman"/>
          <w:b/>
          <w:bCs/>
          <w:sz w:val="22"/>
          <w:szCs w:val="22"/>
        </w:rPr>
        <w:t xml:space="preserve">Table 3.1 Comparative analysis of the eighteen scientific works</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2500"/>
        <w:gridCol w:w="2700"/>
        <w:gridCol w:w="2704"/>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Authors and year</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Objective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Method / setup</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Reported results</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Limitations</w:t>
            </w:r>
          </w:p>
        </w:tc>
        <w:tc>
          <w:tcPr>
            <w:tcW w:type="dxa" w:w="270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Relevance to GeoGuide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Weyand et al. (2020) [1]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Benchmark for instance-level landmark recognition and retrieval.</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Dataset from Wikimedia Commons; test set of 118,000 annotated images.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Over 5M images, over 200k labels; embeddings transfer to other retrieval datasets.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no per-city coverage reported; global crowd-sourced images.</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Shows that landmark coverage needs large image sets; local test set still required.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Tan et al. (2019) [2]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Mobile recognition of Wikipedia-featured sites.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Deep network trained on crowd-sourced images; online and real-world evaluation.</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Similar-looking sites and clutter hurt recognition; location and orientation context and image de-noising help.</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abstract gives no figures; older preprint without stated venue.</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Supports GPS-assisted candidate filtering and cleaning of reference images.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Razali et al. (2023) [3]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Lightweight landmark recognition for smart tourism.</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4 CNN extractors, 4 feature-selection methods, 6 classifiers; own 9-class set (about 100 images each) and Scene-15.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EfficientNet (avg-pool) + 1D CNN, no feature selection: 100% (own set), 94.26% (Scene-15). With LDA: 99.69% / 98.90% fewer features; Scene-15 accuracy 0.99 for linear SVM and 1D CNN.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LDA cost not evaluated; more benchmarks proposed as future work. R: tiny closed-set data photographed 10-11 a.m. with one camera; scene classes are not specific buildings.</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Closed-set classifier baseline; warns against reading saturated accuracy as generalization.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Radford et al. (2021) [4]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Learn visual representations from natural-language supervision.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400M image–text pairs; evaluation on more than 30 datasets.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Zero-shot transfer competitive with supervised baselines; matches ResNet-50 on ImageNet zero-shot.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not tourism-specific; no Kazakhstani data.</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Image–text embeddings for retrieval over a reference set without per-landmark training.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Oquab et al. (2023) [5]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General-purpose self-supervised visual features.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Automatically curated dataset; 1B-parameter ViT distilled into smaller models.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Reported to outperform OpenCLIP on most image- and pixel-level benchmarks.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general benchmarks, not landmark identification.</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Alternative embedding model for the recognition module and its baseline.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Xu et al. (2026) [6]</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Photo tour guide from smartphone photos, map data and an LLM.</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GPS-filtered map features; vision-language model matches landmarks; LLM narrates; training-free.</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User rating 3.579/4 (134 photos, 5 cities); area-overlap matching F1 0.84 vs best LLM matcher 0.79; about 20 s per photo.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GPS-accuracy dependence. R: subjective ratings; urban China/US photos; relies on OpenStreetMap; photo count 125 (intro) vs 134 (Sec. 5.1); no venue; no notification or personalization.</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Closest comparable pipeline; supports combining GPS, vision and LLM narration.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Lewis et al. (2020) [7]</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Combine parametric and retrieved knowledge for generation.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Seq2seq model with dense Wikipedia index and neural retriever.</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State of the art on three open-domain QA tasks; more factual generation than parametric baseline.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Wikipedia-based; not a visual or location setting.</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Foundation for answering from a curated knowledge base.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Gao et al. (2024) [8]</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Survey of retrieval-augmented generation for LLMs.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Naive, advanced and modular RAG paradigms; evaluation frameworks.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Retrieval mitigates hallucination, stale knowledge and untraceable reasoning.</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survey; no tourism experiments.</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Guides RAG design and evaluation choices.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Ji et al. (2024) [9]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Survey of hallucination in natural language generation.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Metrics, mitigation methods, task-specific progress, LLM section.</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Taxonomy of hallucination measures and mitigations.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survey; no tourism experiments.</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Defines the risk that the verified-answer design must control.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Liu et al. (2023) [10]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Evaluate verifiability of generative search engines.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Human evaluation of four engines on varied queries.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51.5% of sentences fully supported by citations; 74.5% of citations support their sentence.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web search engines, not a domain guide.</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Citation recall and precision as metrics for GeoGuide's verified label.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Es et al. (2025) [11]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Reference-free evaluation of RAG pipelines.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Metrics for retriever focus, generator faithfulness and answer quality.</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Metric framework; no single accuracy figure in the abstract.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automatic metrics need validation on local questions.</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Candidate automatic metrics for the verification plan.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Xie et al. (2024) [12]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Benchmark for real-world travel planning by language agents.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1,225 planning intents; tools over about 4M records.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GPT-4 success rate 0.6%.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multi-day itineraries, outside GeoGuide scope.</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Motivates keeping facts and constraints out of model memory.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Dong et al. (2026) [13]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Quality of generative AI tourism information.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4,800 responses, three platforms, six quality dimensions, LLM evaluator.</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Quality varies by platform, prompt strategy and question type ("conditional trustworthiness").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LLM-as-judge; abstract only, full text behind paywall.</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Quality depends on design; factual queries scored lower than evaluative ones; human check of a sample needed.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Qi et al. (2025) [14]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Label-free evaluation of LLMs on tourism.</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Expert tree-of-thought structure; models from 32B to 671B parameters.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4.99–14.15% relative quality gain of optimized prompts over baseline prompts.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preprint; evaluates general LLMs, not a guide app.</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Expert-criteria evaluation when no labelled benchmark exists.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Khan et al. (2021) [15]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Review of contextual recommendation in e-tourism.</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143 articles (2012–2020) from four databases.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Content-based, collaborative, preference-based and language-model approaches; precision, nDCG, MRR common.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predates generative guides and camera input.</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Supports content-based start and standard ranking metrics.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Lanir et al. (2011) [16]</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Proactive versus user-selected content in a mobile museum guide.</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Controlled study with real visitors, three guide versions.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Abstract states the proactiveness–control trade-off; no effect sizes in consulted text.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museum setting; 2011 technology.</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Supports opt-in, adjustable notifications.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Sasaki et al. (2024) [17]</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Geofence design for POI notifiers.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Synthetic GPS trajectories from OpenStreetMap roads; genetic algorithms; 75 m scanning radius; 200 test trajectories; two groups of 5 subjects.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Optimized geofences outperform manual settings in the authors' comparison.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 synthetic data, one park, small survey.</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Warns that arbitrary geofences reduce relevance; supports testing radii.</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Mamrayeva et al. (2022) [18]</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Audio-guide supply in Kazakhstan on izi.Travel.</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Quantitative and qualitative analysis of platform content, 24 localities.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94 guides (53 tours, 41 museum guides); Russian 81, English 58, Kazakh 53 audio tours.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 few routes, some underdeveloped. R: 2022 snapshot, one platform.</w:t>
            </w:r>
          </w:p>
        </w:tc>
        <w:tc>
          <w:tcPr>
            <w:tcW w:type="dxa" w:w="270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Local evidence of limited, uneven content supply.</w:t>
            </w:r>
          </w:p>
        </w:tc>
      </w:tr>
    </w:tbl>
    <w:p>
      <w:pPr>
        <w:sectPr>
          <w:footerReference w:type="default" r:id="rId7"/>
          <w:pgSz w:w="16838" w:h="11906" w:orient="landscape"/>
          <w:pgMar w:top="1417" w:right="1417" w:bottom="1417" w:left="1417" w:header="708" w:footer="708" w:gutter="0"/>
          <w:pgNumType/>
          <w:docGrid w:linePitch="360"/>
        </w:sectPr>
      </w:pPr>
    </w:p>
    <w:p>
      <w:pPr>
        <w:pStyle w:val="Heading1"/>
        <w:keepNext/>
        <w:spacing w:after="140" w:before="280"/>
      </w:pPr>
      <w:r>
        <w:rPr>
          <w:rFonts w:ascii="Times New Roman" w:cs="Times New Roman" w:eastAsia="Times New Roman" w:hAnsi="Times New Roman"/>
          <w:b/>
          <w:bCs/>
          <w:sz w:val="28"/>
          <w:szCs w:val="28"/>
        </w:rPr>
        <w:t xml:space="preserve">3.7 Research Gaps and Implications for the Proposed System</w:t>
      </w:r>
    </w:p>
    <w:p>
      <w:pPr>
        <w:spacing w:after="140" w:line="276"/>
        <w:jc w:val="both"/>
      </w:pPr>
      <w:r>
        <w:rPr>
          <w:rFonts w:ascii="Times New Roman" w:cs="Times New Roman" w:eastAsia="Times New Roman" w:hAnsi="Times New Roman"/>
          <w:b/>
          <w:bCs/>
          <w:sz w:val="24"/>
          <w:szCs w:val="24"/>
        </w:rPr>
        <w:t xml:space="preserve">Integration is unevaluated within this source set.</w:t>
      </w:r>
      <w:r>
        <w:rPr>
          <w:rFonts w:ascii="Times New Roman" w:cs="Times New Roman" w:eastAsia="Times New Roman" w:hAnsi="Times New Roman"/>
          <w:sz w:val="24"/>
          <w:szCs w:val="24"/>
        </w:rPr>
        <w:t xml:space="preserve"> Recognition [1]–[6], grounded generation [7]–[11], tourism LLM evaluation [12]–[14] and context-aware delivery [15]–[17] are studied separately. AutoTour [6] combines photograph, geospatial data and LLM narration, but its abstract describes no proactive notification or personalization. This is a cross-study inference within the reviewed sources, not evidence that no integrated product exists; Chapter 4 compares existing systems.</w:t>
      </w:r>
    </w:p>
    <w:p>
      <w:pPr>
        <w:spacing w:after="140" w:line="276"/>
        <w:jc w:val="both"/>
      </w:pPr>
      <w:r>
        <w:rPr>
          <w:rFonts w:ascii="Times New Roman" w:cs="Times New Roman" w:eastAsia="Times New Roman" w:hAnsi="Times New Roman"/>
          <w:b/>
          <w:bCs/>
          <w:sz w:val="24"/>
          <w:szCs w:val="24"/>
        </w:rPr>
        <w:t xml:space="preserve">Local recognition evidence is missing.</w:t>
      </w:r>
      <w:r>
        <w:rPr>
          <w:rFonts w:ascii="Times New Roman" w:cs="Times New Roman" w:eastAsia="Times New Roman" w:hAnsi="Times New Roman"/>
          <w:sz w:val="24"/>
          <w:szCs w:val="24"/>
        </w:rPr>
        <w:t xml:space="preserve"> Large datasets [1] are global, and the tourism-specific classifier [3] was tested on a very small own dataset. None of the reviewed works evaluates Kazakhstani landmarks. The project should therefore build a reference and test image set for a limited number of objects in the pilot regions and compare an embedding-retrieval approach [4], [5] with a baseline, rather than assume transfer from general benchmarks. AutoTour [6] avoids training by relying on OpenStreetMap, but whether OpenStreetMap contains the 12 pilot objects as named, tagged entities has not been checked, so the reference-image approach does not assume it.</w:t>
      </w:r>
    </w:p>
    <w:p>
      <w:pPr>
        <w:spacing w:after="140" w:line="276"/>
        <w:jc w:val="both"/>
      </w:pPr>
      <w:r>
        <w:rPr>
          <w:rFonts w:ascii="Times New Roman" w:cs="Times New Roman" w:eastAsia="Times New Roman" w:hAnsi="Times New Roman"/>
          <w:b/>
          <w:bCs/>
          <w:sz w:val="24"/>
          <w:szCs w:val="24"/>
        </w:rPr>
        <w:t xml:space="preserve">Trust requires measurement, not labelling.</w:t>
      </w:r>
      <w:r>
        <w:rPr>
          <w:rFonts w:ascii="Times New Roman" w:cs="Times New Roman" w:eastAsia="Times New Roman" w:hAnsi="Times New Roman"/>
          <w:sz w:val="24"/>
          <w:szCs w:val="24"/>
        </w:rPr>
        <w:t xml:space="preserve"> Hallucination is a documented property of generative models [9], and citation-based answers can still be unsupported [10]. Tourism-specific evidence shows variable quality [13] and weak constraint handling [12]. GeoGuide should answer from a curated knowledge base [7], [8], decline when the base has no support, and measure faithfulness and citation precision on its own question set, with human review of a sample [10], [11].</w:t>
      </w:r>
    </w:p>
    <w:p>
      <w:pPr>
        <w:spacing w:after="140" w:line="276"/>
        <w:jc w:val="both"/>
      </w:pPr>
      <w:r>
        <w:rPr>
          <w:rFonts w:ascii="Times New Roman" w:cs="Times New Roman" w:eastAsia="Times New Roman" w:hAnsi="Times New Roman"/>
          <w:b/>
          <w:bCs/>
          <w:sz w:val="24"/>
          <w:szCs w:val="24"/>
        </w:rPr>
        <w:t xml:space="preserve">Notification design is a trade-off.</w:t>
      </w:r>
      <w:r>
        <w:rPr>
          <w:rFonts w:ascii="Times New Roman" w:cs="Times New Roman" w:eastAsia="Times New Roman" w:hAnsi="Times New Roman"/>
          <w:sz w:val="24"/>
          <w:szCs w:val="24"/>
        </w:rPr>
        <w:t xml:space="preserve"> Proactive delivery can take control from the user [16], and arbitrary geofences reduce relevance and coverage [17]. The design should keep notifications opt-in with adjustable radius and quiet hours, and should test radii empirically at the selected objects.</w:t>
      </w:r>
    </w:p>
    <w:p>
      <w:pPr>
        <w:spacing w:after="140" w:line="276"/>
        <w:jc w:val="both"/>
      </w:pPr>
      <w:r>
        <w:rPr>
          <w:rFonts w:ascii="Times New Roman" w:cs="Times New Roman" w:eastAsia="Times New Roman" w:hAnsi="Times New Roman"/>
          <w:b/>
          <w:bCs/>
          <w:sz w:val="24"/>
          <w:szCs w:val="24"/>
        </w:rPr>
        <w:t xml:space="preserve">Personalization starts without interaction data.</w:t>
      </w:r>
      <w:r>
        <w:rPr>
          <w:rFonts w:ascii="Times New Roman" w:cs="Times New Roman" w:eastAsia="Times New Roman" w:hAnsi="Times New Roman"/>
          <w:sz w:val="24"/>
          <w:szCs w:val="24"/>
        </w:rPr>
        <w:t xml:space="preserve"> Common tourism recommenders [15] rely on content, preferences or collaborative signals. A new application has no interaction history, so interest tags and context rules (distance, opening hours) are a defensible starting point, with feedback logged for later comparison.</w:t>
      </w:r>
    </w:p>
    <w:p>
      <w:pPr>
        <w:spacing w:after="140" w:line="276"/>
        <w:jc w:val="both"/>
      </w:pPr>
      <w:r>
        <w:rPr>
          <w:rFonts w:ascii="Times New Roman" w:cs="Times New Roman" w:eastAsia="Times New Roman" w:hAnsi="Times New Roman"/>
          <w:b/>
          <w:bCs/>
          <w:sz w:val="24"/>
          <w:szCs w:val="24"/>
        </w:rPr>
        <w:t xml:space="preserve">Local content is thin.</w:t>
      </w:r>
      <w:r>
        <w:rPr>
          <w:rFonts w:ascii="Times New Roman" w:cs="Times New Roman" w:eastAsia="Times New Roman" w:hAnsi="Times New Roman"/>
          <w:sz w:val="24"/>
          <w:szCs w:val="24"/>
        </w:rPr>
        <w:t xml:space="preserve"> The Kazakhstan audio-guide supply is small and uneven [18], which supports building a verified knowledge base for the pilot area, but also means content preparation is a real workload and a project risk.</w:t>
      </w:r>
    </w:p>
    <w:p>
      <w:pPr>
        <w:spacing w:after="140" w:line="276"/>
        <w:jc w:val="both"/>
      </w:pPr>
      <w:r>
        <w:rPr>
          <w:rFonts w:ascii="Times New Roman" w:cs="Times New Roman" w:eastAsia="Times New Roman" w:hAnsi="Times New Roman"/>
          <w:sz w:val="24"/>
          <w:szCs w:val="24"/>
        </w:rPr>
        <w:t xml:space="preserve">These gaps suggest an architecture with separable components: GPS-assisted candidate selection, image-embedding retrieval over a reference set, a curated knowledge base, retrieval-augmented answer generation with a refusal path, a rule-based recommender, and a geofence notification service. Each component can then be compared with a simple baseline.</w:t>
      </w:r>
    </w:p>
    <w:p>
      <w:pPr>
        <w:spacing w:after="140" w:line="276"/>
        <w:jc w:val="both"/>
      </w:pPr>
      <w:r>
        <w:rPr>
          <w:rFonts w:ascii="Times New Roman" w:cs="Times New Roman" w:eastAsia="Times New Roman" w:hAnsi="Times New Roman"/>
          <w:sz w:val="24"/>
          <w:szCs w:val="24"/>
        </w:rPr>
        <w:t xml:space="preserve">Table 3.2 links each gap to the project decision it supports and to the requirement and evaluation question that verify it. Identifiers refer to Chapters 5, 6 and 9.</w:t>
      </w:r>
    </w:p>
    <w:p>
      <w:pPr>
        <w:keepNext/>
        <w:spacing w:after="80" w:before="120"/>
      </w:pPr>
      <w:r>
        <w:rPr>
          <w:rFonts w:ascii="Times New Roman" w:cs="Times New Roman" w:eastAsia="Times New Roman" w:hAnsi="Times New Roman"/>
          <w:b/>
          <w:bCs/>
          <w:sz w:val="22"/>
          <w:szCs w:val="22"/>
        </w:rPr>
        <w:t xml:space="preserve">Table 3.2 Research gaps and the project decisions that address them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172"/>
        <w:gridCol w:w="17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Research gap</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Evidence</w:t>
            </w:r>
          </w:p>
        </w:tc>
        <w:tc>
          <w:tcPr>
            <w:tcW w:type="dxa" w:w="41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Project decision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Verified by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Integration is unevaluated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[6]; components studied separately in [1]–[17]</w:t>
            </w:r>
          </w:p>
        </w:tc>
        <w:tc>
          <w:tcPr>
            <w:tcW w:type="dxa" w:w="4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One application built from separable components (recognition, knowledge base, grounded chat, recommender, geofence service), each compared with a baseline (Chapter 5, Table 5.1).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EQ1–EQ4; Table 9.2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Local recognition evidence is missing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 [3], [6]</w:t>
            </w:r>
          </w:p>
        </w:tc>
        <w:tc>
          <w:tcPr>
            <w:tcW w:type="dxa" w:w="4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Reference and test photographs of the 12 pilot objects; embedding retrieval filtered by GPS as the main method, cloud landmark API as baseline and fallback, closed-set classifier optional (Section 5.6); no dependence on map-data coverage.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FR-01 to FR-03; EQ1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Trust requires measurement, not labelling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[7]–[11], [13], [14]</w:t>
            </w:r>
          </w:p>
        </w:tc>
        <w:tc>
          <w:tcPr>
            <w:tcW w:type="dxa" w:w="4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Curated knowledge base, source label, refusal when no passage supports an answer; no-retrieval baseline; human review of a sample beside automatic metrics (Section 5.7).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FR-06 to FR-08, FR-15, NFR-08; EQ2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Notification design is a trade-off</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[16], [17]</w:t>
            </w:r>
          </w:p>
        </w:tc>
        <w:tc>
          <w:tcPr>
            <w:tcW w:type="dxa" w:w="4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OS geofencing with a set of nearest places; opt-in, selectable radius and quiet hours; radii tested in the field instead of fixed in advance (Section 5.9).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FR-09, FR-10, NFR-09; EQ3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Personalization starts without interaction data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[15]</w:t>
            </w:r>
          </w:p>
        </w:tc>
        <w:tc>
          <w:tcPr>
            <w:tcW w:type="dxa" w:w="4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Content-based ranking by interests, distance and opening hours with a stated reason; feedback logged for later comparison (Section 5.8).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FR-11, FR-12; EQ4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Local content is thin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[18]</w:t>
            </w:r>
          </w:p>
        </w:tc>
        <w:tc>
          <w:tcPr>
            <w:tcW w:type="dxa" w:w="41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Verified knowledge base for the pilot objects, each passage with a source and verification date; content preparation treated as a project risk (R4, Chapter 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FR-16, NFR-08; coverage-gap check (Section 9.3)</w:t>
            </w:r>
          </w:p>
        </w:tc>
      </w:tr>
    </w:tbl>
    <w:p>
      <w:pPr>
        <w:spacing w:after="140"/>
      </w:pPr>
    </w:p>
    <w:p>
      <w:pPr>
        <w:pStyle w:val="Heading1"/>
        <w:keepNext/>
        <w:spacing w:after="140" w:before="280"/>
      </w:pPr>
      <w:r>
        <w:rPr>
          <w:rFonts w:ascii="Times New Roman" w:cs="Times New Roman" w:eastAsia="Times New Roman" w:hAnsi="Times New Roman"/>
          <w:b/>
          <w:bCs/>
          <w:sz w:val="28"/>
          <w:szCs w:val="28"/>
        </w:rPr>
        <w:t xml:space="preserve">3.8 Conclusion</w:t>
      </w:r>
    </w:p>
    <w:p>
      <w:pPr>
        <w:spacing w:after="140" w:line="276"/>
        <w:jc w:val="both"/>
      </w:pPr>
      <w:r>
        <w:rPr>
          <w:rFonts w:ascii="Times New Roman" w:cs="Times New Roman" w:eastAsia="Times New Roman" w:hAnsi="Times New Roman"/>
          <w:sz w:val="24"/>
          <w:szCs w:val="24"/>
        </w:rPr>
        <w:t xml:space="preserve">The reviewed literature supports combining location-filtered visual recognition with retrieval-augmented generation and context-aware notifications, while warning against treating any single component as proof of overall quality. Recognition evidence is strongest for large generic datasets [1] and weak for small local ones [3]. Trust in generated content is a measurable property [10], [11], not a label. Proactive delivery has to balance usefulness against user control [16], [17]. The thesis contribution should therefore be a reproducible evaluation of a working prototype for a defined pilot area, including negative results, rather than a claim of general superiority.</w:t>
      </w:r>
    </w:p>
    <w:p>
      <w:pPr>
        <w:pStyle w:val="Heading1"/>
        <w:keepNext/>
        <w:spacing w:after="140" w:before="280"/>
      </w:pPr>
      <w:r>
        <w:rPr>
          <w:rFonts w:ascii="Times New Roman" w:cs="Times New Roman" w:eastAsia="Times New Roman" w:hAnsi="Times New Roman"/>
          <w:b/>
          <w:bCs/>
          <w:sz w:val="28"/>
          <w:szCs w:val="28"/>
        </w:rPr>
        <w:t xml:space="preserve">References</w:t>
      </w:r>
    </w:p>
    <w:p>
      <w:pPr>
        <w:spacing w:after="100"/>
        <w:ind w:left="540" w:hanging="540"/>
        <w:jc w:val="left"/>
      </w:pPr>
      <w:r>
        <w:rPr>
          <w:rFonts w:ascii="Times New Roman" w:cs="Times New Roman" w:eastAsia="Times New Roman" w:hAnsi="Times New Roman"/>
          <w:sz w:val="22"/>
          <w:szCs w:val="22"/>
        </w:rPr>
        <w:t xml:space="preserve">[1] T. Weyand, A. Araujo, B. Cao, and J. Sim, "Google Landmarks Dataset v2 – A large-scale benchmark for instance-level recognition and retrieval," in Proc. IEEE/CVF Conf. Computer Vision and Pattern Recognition (CVPR), 2020, arXiv:2004.01804, ver. 2, Nov. 2, 2020. [Online]. Available: https://openaccess.thecvf.com/content_CVPR_2020/papers/Weyand_Google_Landmarks_Dataset_v2_-_A_Large-Scale_Benchmark_for_Instance-Level_CVPR_2020_paper.pdf</w:t>
      </w:r>
    </w:p>
    <w:p>
      <w:pPr>
        <w:spacing w:after="100"/>
        <w:ind w:left="540" w:hanging="540"/>
        <w:jc w:val="left"/>
      </w:pPr>
      <w:r>
        <w:rPr>
          <w:rFonts w:ascii="Times New Roman" w:cs="Times New Roman" w:eastAsia="Times New Roman" w:hAnsi="Times New Roman"/>
          <w:sz w:val="22"/>
          <w:szCs w:val="22"/>
        </w:rPr>
        <w:t xml:space="preserve">[2] J. Tan, A. Noulas, D. Sáez, and R. Schifanella, "Mobile recognition of Wikipedia featured sites using deep learning and crowd-sourced imagery," arXiv:1910.09705, ver. 2, Nov. 4, 2019. [Online]. Available: https://arxiv.org/abs/1910.09705</w:t>
      </w:r>
    </w:p>
    <w:p>
      <w:pPr>
        <w:spacing w:after="100"/>
        <w:ind w:left="540" w:hanging="540"/>
        <w:jc w:val="left"/>
      </w:pPr>
      <w:r>
        <w:rPr>
          <w:rFonts w:ascii="Times New Roman" w:cs="Times New Roman" w:eastAsia="Times New Roman" w:hAnsi="Times New Roman"/>
          <w:sz w:val="22"/>
          <w:szCs w:val="22"/>
        </w:rPr>
        <w:t xml:space="preserve">[3] M. N. Razali, E. O. N. Tony, A. A. Ibrahim, R. Hanapi, and Z. Iswandono, "Landmark recognition model for smart tourism using lightweight deep learning and linear discriminant analysis," Int. J. Adv. Comput. Sci. Appl. (IJACSA), vol. 14, no. 2, pp. 198–213, 2023. [Online]. Available: https://thesai.org/Downloads/Volume14No2/Paper_25-Landmark_Recognition_Model_for_Smart_Tourism.pdf</w:t>
      </w:r>
    </w:p>
    <w:p>
      <w:pPr>
        <w:spacing w:after="100"/>
        <w:ind w:left="540" w:hanging="540"/>
        <w:jc w:val="left"/>
      </w:pPr>
      <w:r>
        <w:rPr>
          <w:rFonts w:ascii="Times New Roman" w:cs="Times New Roman" w:eastAsia="Times New Roman" w:hAnsi="Times New Roman"/>
          <w:sz w:val="22"/>
          <w:szCs w:val="22"/>
        </w:rPr>
        <w:t xml:space="preserve">[4] A. Radford et al., "Learning transferable visual models from natural language supervision," arXiv:2103.00020, ver. 1, Feb. 26, 2021. [Online]. Available: https://arxiv.org/abs/2103.00020</w:t>
      </w:r>
    </w:p>
    <w:p>
      <w:pPr>
        <w:spacing w:after="100"/>
        <w:ind w:left="540" w:hanging="540"/>
        <w:jc w:val="left"/>
      </w:pPr>
      <w:r>
        <w:rPr>
          <w:rFonts w:ascii="Times New Roman" w:cs="Times New Roman" w:eastAsia="Times New Roman" w:hAnsi="Times New Roman"/>
          <w:sz w:val="22"/>
          <w:szCs w:val="22"/>
        </w:rPr>
        <w:t xml:space="preserve">[5] M. Oquab et al., "DINOv2: Learning robust visual features without supervision," arXiv:2304.07193, ver. 2, Feb. 2, 2024. [Online]. Available: https://arxiv.org/abs/2304.07193</w:t>
      </w:r>
    </w:p>
    <w:p>
      <w:pPr>
        <w:spacing w:after="100"/>
        <w:ind w:left="540" w:hanging="540"/>
        <w:jc w:val="left"/>
      </w:pPr>
      <w:r>
        <w:rPr>
          <w:rFonts w:ascii="Times New Roman" w:cs="Times New Roman" w:eastAsia="Times New Roman" w:hAnsi="Times New Roman"/>
          <w:sz w:val="22"/>
          <w:szCs w:val="22"/>
        </w:rPr>
        <w:t xml:space="preserve">[6] H. Xu, Z. Liu, Z. Zeng, B. Li, and M. Li, "AutoTour: Automatic photo tour guide with smartphones and LLMs," arXiv:2601.06781, ver. 1, Jan. 11, 2026. [Online]. Available: https://arxiv.org/abs/2601.06781</w:t>
      </w:r>
    </w:p>
    <w:p>
      <w:pPr>
        <w:spacing w:after="100"/>
        <w:ind w:left="540" w:hanging="540"/>
        <w:jc w:val="left"/>
      </w:pPr>
      <w:r>
        <w:rPr>
          <w:rFonts w:ascii="Times New Roman" w:cs="Times New Roman" w:eastAsia="Times New Roman" w:hAnsi="Times New Roman"/>
          <w:sz w:val="22"/>
          <w:szCs w:val="22"/>
        </w:rPr>
        <w:t xml:space="preserve">[7] P. Lewis et al., "Retrieval-augmented generation for knowledge-intensive NLP tasks," in Advances in Neural Information Processing Systems (NeurIPS), 2020, arXiv:2005.11401, ver. 4, Apr. 12, 2021. [Online]. Available: https://arxiv.org/abs/2005.11401</w:t>
      </w:r>
    </w:p>
    <w:p>
      <w:pPr>
        <w:spacing w:after="100"/>
        <w:ind w:left="540" w:hanging="540"/>
        <w:jc w:val="left"/>
      </w:pPr>
      <w:r>
        <w:rPr>
          <w:rFonts w:ascii="Times New Roman" w:cs="Times New Roman" w:eastAsia="Times New Roman" w:hAnsi="Times New Roman"/>
          <w:sz w:val="22"/>
          <w:szCs w:val="22"/>
        </w:rPr>
        <w:t xml:space="preserve">[8] Y. Gao et al., "Retrieval-augmented generation for large language models: A survey," arXiv:2312.10997, ver. 5, Mar. 27, 2024. [Online]. Available: https://arxiv.org/abs/2312.10997</w:t>
      </w:r>
    </w:p>
    <w:p>
      <w:pPr>
        <w:spacing w:after="100"/>
        <w:ind w:left="540" w:hanging="540"/>
        <w:jc w:val="left"/>
      </w:pPr>
      <w:r>
        <w:rPr>
          <w:rFonts w:ascii="Times New Roman" w:cs="Times New Roman" w:eastAsia="Times New Roman" w:hAnsi="Times New Roman"/>
          <w:sz w:val="22"/>
          <w:szCs w:val="22"/>
        </w:rPr>
        <w:t xml:space="preserve">[9] Z. Ji et al., "Survey of hallucination in natural language generation," arXiv:2202.03629, ver. 7, Jul. 14, 2024. [Online]. Available: https://arxiv.org/abs/2202.03629</w:t>
      </w:r>
    </w:p>
    <w:p>
      <w:pPr>
        <w:spacing w:after="100"/>
        <w:ind w:left="540" w:hanging="540"/>
        <w:jc w:val="left"/>
      </w:pPr>
      <w:r>
        <w:rPr>
          <w:rFonts w:ascii="Times New Roman" w:cs="Times New Roman" w:eastAsia="Times New Roman" w:hAnsi="Times New Roman"/>
          <w:sz w:val="22"/>
          <w:szCs w:val="22"/>
        </w:rPr>
        <w:t xml:space="preserve">[10] N. F. Liu, T. Zhang, and P. Liang, "Evaluating verifiability in generative search engines," arXiv:2304.09848, ver. 2, Oct. 23, 2023. [Online]. Available: https://arxiv.org/abs/2304.09848</w:t>
      </w:r>
    </w:p>
    <w:p>
      <w:pPr>
        <w:spacing w:after="100"/>
        <w:ind w:left="540" w:hanging="540"/>
        <w:jc w:val="left"/>
      </w:pPr>
      <w:r>
        <w:rPr>
          <w:rFonts w:ascii="Times New Roman" w:cs="Times New Roman" w:eastAsia="Times New Roman" w:hAnsi="Times New Roman"/>
          <w:sz w:val="22"/>
          <w:szCs w:val="22"/>
        </w:rPr>
        <w:t xml:space="preserve">[11] S. Es, J. James, L. Espinosa-Anke, and S. Schockaert, "Ragas: Automated evaluation of retrieval augmented generation," arXiv:2309.15217, ver. 2, Apr. 28, 2025. [Online]. Available: https://arxiv.org/abs/2309.15217</w:t>
      </w:r>
    </w:p>
    <w:p>
      <w:pPr>
        <w:spacing w:after="100"/>
        <w:ind w:left="540" w:hanging="540"/>
        <w:jc w:val="left"/>
      </w:pPr>
      <w:r>
        <w:rPr>
          <w:rFonts w:ascii="Times New Roman" w:cs="Times New Roman" w:eastAsia="Times New Roman" w:hAnsi="Times New Roman"/>
          <w:sz w:val="22"/>
          <w:szCs w:val="22"/>
        </w:rPr>
        <w:t xml:space="preserve">[12] J. Xie et al., "TravelPlanner: A benchmark for real-world planning with language agents," arXiv:2402.01622, ver. 4, Oct. 23, 2024. [Online]. Available: https://arxiv.org/abs/2402.01622</w:t>
      </w:r>
    </w:p>
    <w:p>
      <w:pPr>
        <w:spacing w:after="100"/>
        <w:ind w:left="540" w:hanging="540"/>
        <w:jc w:val="left"/>
      </w:pPr>
      <w:r>
        <w:rPr>
          <w:rFonts w:ascii="Times New Roman" w:cs="Times New Roman" w:eastAsia="Times New Roman" w:hAnsi="Times New Roman"/>
          <w:sz w:val="22"/>
          <w:szCs w:val="22"/>
        </w:rPr>
        <w:t xml:space="preserve">[13] Y. Dong, T. Zhang, and X. Tian, "Can tourists trust generative AI? A systematic evaluation of the quality of AI-generated tourism information," J. Hospitality Tourism Technol., 2026, doi: 10.1108/jhtt-11-2025-1080.</w:t>
      </w:r>
    </w:p>
    <w:p>
      <w:pPr>
        <w:spacing w:after="100"/>
        <w:ind w:left="540" w:hanging="540"/>
        <w:jc w:val="left"/>
      </w:pPr>
      <w:r>
        <w:rPr>
          <w:rFonts w:ascii="Times New Roman" w:cs="Times New Roman" w:eastAsia="Times New Roman" w:hAnsi="Times New Roman"/>
          <w:sz w:val="22"/>
          <w:szCs w:val="22"/>
        </w:rPr>
        <w:t xml:space="preserve">[14] R. Qi, C. Wen, W. Zhou, J. Li, S. Liang, and L. Li, "LETToT: Label-free evaluation of large language models on tourism using expert tree-of-thought," arXiv:2508.11280, ver. 2, Aug. 25, 2025. [Online]. Available: https://arxiv.org/abs/2508.11280</w:t>
      </w:r>
    </w:p>
    <w:p>
      <w:pPr>
        <w:spacing w:after="100"/>
        <w:ind w:left="540" w:hanging="540"/>
        <w:jc w:val="left"/>
      </w:pPr>
      <w:r>
        <w:rPr>
          <w:rFonts w:ascii="Times New Roman" w:cs="Times New Roman" w:eastAsia="Times New Roman" w:hAnsi="Times New Roman"/>
          <w:sz w:val="22"/>
          <w:szCs w:val="22"/>
        </w:rPr>
        <w:t xml:space="preserve">[15] H. U. R. Khan, C. K. Lim, M. F. Ahmed, K. L. Tan, and M. B. Mokhtar, "Systematic review of contextual suggestion and recommendation systems for sustainable e-tourism," Sustainability, vol. 13, no. 15, Art. no. 8141, 2021. [Online]. Available: https://www.mdpi.com/2071-1050/13/15/8141/</w:t>
      </w:r>
    </w:p>
    <w:p>
      <w:pPr>
        <w:spacing w:after="100"/>
        <w:ind w:left="540" w:hanging="540"/>
        <w:jc w:val="left"/>
      </w:pPr>
      <w:r>
        <w:rPr>
          <w:rFonts w:ascii="Times New Roman" w:cs="Times New Roman" w:eastAsia="Times New Roman" w:hAnsi="Times New Roman"/>
          <w:sz w:val="22"/>
          <w:szCs w:val="22"/>
        </w:rPr>
        <w:t xml:space="preserve">[16] J. Lanir, T. Kuflik, A. J. Wecker, O. Stock, and M. Zancanaro, "Examining proactiveness and choice in a location-aware mobile museum guide," Interacting with Computers, vol. 23, no. 5, pp. 513–524, Sep. 2011, doi: 10.1016/j.intcom.2011.05.007.</w:t>
      </w:r>
    </w:p>
    <w:p>
      <w:pPr>
        <w:spacing w:after="100"/>
        <w:ind w:left="540" w:hanging="540"/>
        <w:jc w:val="left"/>
      </w:pPr>
      <w:r>
        <w:rPr>
          <w:rFonts w:ascii="Times New Roman" w:cs="Times New Roman" w:eastAsia="Times New Roman" w:hAnsi="Times New Roman"/>
          <w:sz w:val="22"/>
          <w:szCs w:val="22"/>
        </w:rPr>
        <w:t xml:space="preserve">[17] I. Sasaki, M. Arikawa, M. Lu, T. Utsumi, and R. Sato, "Data-driven geofencing design for point-of-interest notifiers utilizing genetic algorithm," ISPRS Int. J. Geo-Inf., vol. 13, no. 6, Art. no. 174, 2024, doi: 10.3390/ijgi13060174.</w:t>
      </w:r>
    </w:p>
    <w:p>
      <w:pPr>
        <w:spacing w:after="100"/>
        <w:ind w:left="540" w:hanging="540"/>
        <w:jc w:val="left"/>
      </w:pPr>
      <w:r>
        <w:rPr>
          <w:rFonts w:ascii="Times New Roman" w:cs="Times New Roman" w:eastAsia="Times New Roman" w:hAnsi="Times New Roman"/>
          <w:sz w:val="22"/>
          <w:szCs w:val="22"/>
        </w:rPr>
        <w:t xml:space="preserve">[18] D. Mamrayeva, L. Tashenova, and M. Ayaganova, "Platform presence of audio guides by regions of Kazakhstan: Quantitative and qualitative analysis," Buketov Business Review, vol. 106, no. 2, pp. 81–96, 2022, doi: 10.31489/2022ec2/81-96.</w:t>
      </w:r>
    </w:p>
    <w:p>
      <w:pPr>
        <w:pStyle w:val="Heading1"/>
        <w:keepNext/>
        <w:spacing w:after="140" w:before="280"/>
      </w:pPr>
      <w:r>
        <w:rPr>
          <w:rFonts w:ascii="Times New Roman" w:cs="Times New Roman" w:eastAsia="Times New Roman" w:hAnsi="Times New Roman"/>
          <w:b/>
          <w:bCs/>
          <w:sz w:val="28"/>
          <w:szCs w:val="28"/>
        </w:rPr>
        <w:t xml:space="preserve">Appendix A Source Verification Notes</w:t>
      </w:r>
    </w:p>
    <w:p>
      <w:pPr>
        <w:spacing w:after="140" w:line="276"/>
        <w:jc w:val="both"/>
      </w:pPr>
      <w:r>
        <w:rPr>
          <w:rFonts w:ascii="Times New Roman" w:cs="Times New Roman" w:eastAsia="Times New Roman" w:hAnsi="Times New Roman"/>
          <w:sz w:val="24"/>
          <w:szCs w:val="24"/>
        </w:rPr>
        <w:t xml:space="preserve">Bibliographic details were checked on 20 October 2026 against arXiv abstract pages, publisher or repository landing pages and conference records. On 23 October 2026 the full texts of [3] and [6] were read and every number quoted from them in this chapter was compared with the paper; [17] was read through Section 4.1 and the figure captions of Section 5; for [14] and [18] the abstract and the available full-text excerpts were compared; for [13] only the abstract is accessible. Table A.1 states the basis for each source.</w:t>
      </w:r>
    </w:p>
    <w:p>
      <w:pPr>
        <w:spacing w:after="140" w:line="276"/>
        <w:jc w:val="both"/>
      </w:pPr>
      <w:r>
        <w:rPr>
          <w:rFonts w:ascii="Times New Roman" w:cs="Times New Roman" w:eastAsia="Times New Roman" w:hAnsi="Times New Roman"/>
          <w:b/>
          <w:bCs/>
          <w:sz w:val="24"/>
          <w:szCs w:val="24"/>
        </w:rPr>
        <w:t xml:space="preserve">Corrections made in this revision: </w:t>
      </w:r>
      <w:r>
        <w:rPr>
          <w:rFonts w:ascii="Times New Roman" w:cs="Times New Roman" w:eastAsia="Times New Roman" w:hAnsi="Times New Roman"/>
          <w:sz w:val="24"/>
          <w:szCs w:val="24"/>
        </w:rPr>
        <w:t xml:space="preserve">[3] the best accuracies (100% and 94.26%) were obtained without feature selection, not with LDA; [6] the evaluation uses 134 photos (Section 5.1) while the introduction says 125, and the reported matching, latency and cost results were added; [17] the experimental setup was completed; [14] the 4.99-14.15% gain refers to optimized prompts over baseline prompts; [13] the journal was identified from the DOI prefix and ISSN, and the reported prompt and question-type effects were added; the scope wording was changed from Astana to the pilot objects in Kazakhstan, as in the README.</w:t>
      </w:r>
    </w:p>
    <w:p>
      <w:pPr>
        <w:keepNext/>
        <w:spacing w:after="80" w:before="120"/>
      </w:pPr>
      <w:r>
        <w:rPr>
          <w:rFonts w:ascii="Times New Roman" w:cs="Times New Roman" w:eastAsia="Times New Roman" w:hAnsi="Times New Roman"/>
          <w:b/>
          <w:bCs/>
          <w:sz w:val="22"/>
          <w:szCs w:val="22"/>
        </w:rPr>
        <w:t xml:space="preserve">Table A.1 Verification status of the cited sources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4372"/>
        <w:gridCol w:w="30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Sources</w:t>
            </w:r>
          </w:p>
        </w:tc>
        <w:tc>
          <w:tcPr>
            <w:tcW w:type="dxa" w:w="4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Basis of verification</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7"/>
                <w:szCs w:val="17"/>
              </w:rPr>
              <w:t xml:space="preserve">Remaining work</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[3], [6]</w:t>
            </w:r>
          </w:p>
        </w:tc>
        <w:tc>
          <w:tcPr>
            <w:tcW w:type="dxa" w:w="4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Full text read; numbers in the text and in Table 3.1 compared with the papers.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None.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[17]</w:t>
            </w:r>
          </w:p>
        </w:tc>
        <w:tc>
          <w:tcPr>
            <w:tcW w:type="dxa" w:w="4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Full text read through Section 4.1 and the figure captions of Section 5 (setup, 75 m scanning radius, 200 trajectories, two groups of five subjects).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Read Sections 4.2 to 6 and confirm the survey results.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[14]</w:t>
            </w:r>
          </w:p>
        </w:tc>
        <w:tc>
          <w:tcPr>
            <w:tcW w:type="dxa" w:w="4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Abstract and full-text introduction (4.99-14.15%, 32B-671B).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Read the evaluation sections.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[18]</w:t>
            </w:r>
          </w:p>
        </w:tc>
        <w:tc>
          <w:tcPr>
            <w:tcW w:type="dxa" w:w="4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Abstract and journal landing page (94 guides, 53 tours, 41 museum guides; 81, 58 and 53 by language).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Read the full text; confirm 24 localities and the unit used for each language.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[13]</w:t>
            </w:r>
          </w:p>
        </w:tc>
        <w:tc>
          <w:tcPr>
            <w:tcW w:type="dxa" w:w="4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Abstract only (4,800 responses, three platforms, six dimensions); full text is behind a publisher paywall.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Obtain access (university library) and read the method and results.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[1], [2], [4], [5], [7]–[12], [15], [16]</w:t>
            </w:r>
          </w:p>
        </w:tc>
        <w:tc>
          <w:tcPr>
            <w:tcW w:type="dxa" w:w="43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Abstract and landing-page level only; the numbers in Table 3.1 for these sources have not yet been compared with the full texts.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7"/>
                <w:szCs w:val="17"/>
              </w:rPr>
              <w:t xml:space="preserve">Read each paper and confirm every number quoted in Section 3 and Table 3.1.</w:t>
            </w:r>
          </w:p>
        </w:tc>
      </w:tr>
    </w:tbl>
    <w:p>
      <w:pPr>
        <w:spacing w:after="140"/>
      </w:pPr>
    </w:p>
    <w:p>
      <w:pPr>
        <w:spacing w:after="140" w:line="276"/>
        <w:jc w:val="both"/>
      </w:pPr>
      <w:r>
        <w:rPr>
          <w:rFonts w:ascii="Times New Roman" w:cs="Times New Roman" w:eastAsia="Times New Roman" w:hAnsi="Times New Roman"/>
          <w:sz w:val="24"/>
          <w:szCs w:val="24"/>
        </w:rPr>
        <w:t xml:space="preserve">[TEAM: the acceptance criterion requires the full texts of all cited papers to be read. Complete the remaining work in Table A.1, update the table, and delete this note afterwards.]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Years in Table 3.1 and in the reference list refer to the cited version (for arXiv items, the version date), which can differ from the later proceedings or journal year.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[1] arXiv comment field reads "CVPR20 camera-ready (oral)"; CVF open-access record used as the URL; page numbers not confirmed and omitted.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[2] Preprint; no venue named on the arXiv page; abstract reports no figures.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[3] Authors, volume, issue and pages confirmed on the paper header (IJACSA vol. 14, no. 2, pp. 198-213); DOI not stated in the paper. The dataset is the UMS landmark dataset; the paper also names the Scene-15 benchmark.</w:t>
      </w:r>
    </w:p>
    <w:p>
      <w:pPr>
        <w:pStyle w:val="ListParagraph"/>
        <w:numPr>
          <w:ilvl w:val="0"/>
          <w:numId w:val="2"/>
        </w:numPr>
        <w:spacing w:after="70" w:line="264"/>
        <w:jc w:val="both"/>
      </w:pPr>
      <w:r>
        <w:rPr>
          <w:rFonts w:ascii="Times New Roman" w:cs="Times New Roman" w:eastAsia="Times New Roman" w:hAnsi="Times New Roman"/>
          <w:sz w:val="22"/>
          <w:szCs w:val="22"/>
        </w:rPr>
        <w:t xml:space="preserve">[4] arXiv version 1 cited; no later version consulted.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[6] arXiv v1, submitted 11 January 2026; the paper still carries ACM template placeholder dates and names no venue. Photo counts differ inside the paper (125 in the introduction, 134 in Section 5.1); 134 is used. The reported average rating is 3.6 in the introduction and 3.579 in Table 2.</w:t>
      </w:r>
    </w:p>
    <w:p>
      <w:pPr>
        <w:pStyle w:val="ListParagraph"/>
        <w:numPr>
          <w:ilvl w:val="0"/>
          <w:numId w:val="2"/>
        </w:numPr>
        <w:spacing w:after="70" w:line="264"/>
        <w:jc w:val="both"/>
      </w:pPr>
      <w:r>
        <w:rPr>
          <w:rFonts w:ascii="Times New Roman" w:cs="Times New Roman" w:eastAsia="Times New Roman" w:hAnsi="Times New Roman"/>
          <w:sz w:val="22"/>
          <w:szCs w:val="22"/>
        </w:rPr>
        <w:t xml:space="preserve">[7] arXiv version 4 cited; NeurIPS 2020 proceedings record exists but volume and pages were not checked.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[9] arXiv version 7 (2024) cited; the arXiv header lists ACM Computing Surveys, but volume and article number were not confirmed from the consulted page.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[10], [11], [12], [14] arXiv versions cited; venues were not named on the consulted pages and are not asserted.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[13] DOI and ISSN 1757-9880 taken from the landing page; the DOI prefix (Emerald, jhtt) identifies the Journal of Hospitality and Tourism Technology. Year, volume and issue are not shown on the accessible pages; confirm them from the full text.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[15] Publisher URL used; DOI not shown on the consulted page.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[16] DOI and volume details from the institutional repository record; abstract-level information only.</w:t>
      </w:r>
    </w:p>
    <w:p>
      <w:pPr>
        <w:pStyle w:val="ListParagraph"/>
        <w:numPr>
          <w:ilvl w:val="0"/>
          <w:numId w:val="2"/>
        </w:numPr>
        <w:spacing w:after="70" w:line="264"/>
        <w:jc w:val="both"/>
      </w:pPr>
      <w:r>
        <w:rPr>
          <w:rFonts w:ascii="Times New Roman" w:cs="Times New Roman" w:eastAsia="Times New Roman" w:hAnsi="Times New Roman"/>
          <w:sz w:val="22"/>
          <w:szCs w:val="22"/>
        </w:rPr>
        <w:t xml:space="preserve">[17] DOI, volume and article number from the publisher page (ISPRS Int. J. Geo-Inf. 2024, 13(6), 174, published 25 May 2024); setup figures taken from the article text.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[18] Details from the journal landing page and abstract; the unit "audio tours" versus "audio guides" is used inconsistently in the abstract. The issue is listed both as Bulletin of the Karaganda University, Economy series, and as Buketov Business Review; the reference uses the latter, as on the DOI landing page.</w:t>
      </w:r>
    </w:p>
    <w:sectPr>
      <w:footerReference w:type="default" r:id="rId8"/>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GeoGuide Literature Review</dc:title>
  <dc:creator>GeoGuide team</dc:creator>
  <cp:lastModifiedBy>Un-named</cp:lastModifiedBy>
  <cp:revision>1</cp:revision>
  <dcterms:created xsi:type="dcterms:W3CDTF">2026-10-21T19:12:30.731Z</dcterms:created>
  <dcterms:modified xsi:type="dcterms:W3CDTF">2026-10-21T19:12:30.733Z</dcterms:modified>
</cp:coreProperties>
</file>

<file path=docProps/custom.xml><?xml version="1.0" encoding="utf-8"?>
<Properties xmlns="http://schemas.openxmlformats.org/officeDocument/2006/custom-properties" xmlns:vt="http://schemas.openxmlformats.org/officeDocument/2006/docPropsVTypes"/>
</file>