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rPr>
          <w:rFonts w:ascii="Calibri" w:cs="Calibri" w:eastAsia="Calibri" w:hAnsi="Calibri"/>
          <w:b/>
          <w:bCs/>
          <w:color w:val="0B2545"/>
          <w:sz w:val="26"/>
          <w:szCs w:val="26"/>
        </w:rPr>
        <w:t xml:space="preserve">BADAN PENGUSAHAAN BATAM (BP BATAM)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KAMUS INDIKATOR KINERJA UTAMA (KPI DICTIONARY) &amp; FORMULA DASHBOARD EKSEKUTIF</w:t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Unit Kerja: Konsolidasi Multi-Unit BP Batam | Cut-Off: April 2026</w:t>
      </w:r>
    </w:p>
    <w:p>
      <w:pPr>
        <w:spacing w:after="20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Dokumen ini menyajikan kamus indikator kinerja dan formula kalkulasi resmi untuk unit kerja BP Batam yang selaras dengan dokumen resmi BP Batam.</w:t>
      </w:r>
    </w:p>
    <w:tbl>
      <w:tblPr>
        <w:tblW w:type="dxa" w:w="154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4"/>
          <w:insideV w:val="single" w:color="E2E8F0" w:sz="4"/>
        </w:tblBorders>
      </w:tblPr>
      <w:tblGrid>
        <w:gridCol w:w="1800"/>
        <w:gridCol w:w="1800"/>
        <w:gridCol w:w="2800"/>
        <w:gridCol w:w="1600"/>
        <w:gridCol w:w="3600"/>
        <w:gridCol w:w="3800"/>
      </w:tblGrid>
      <w:tr>
        <w:trPr>
          <w:cantSplit/>
          <w:tblHeader/>
        </w:trPr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1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Code</w:t>
            </w:r>
          </w:p>
        </w:tc>
        <w:tc>
          <w:tcPr>
            <w:tcW w:type="dxa" w:w="2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 Name</w:t>
            </w:r>
          </w:p>
        </w:tc>
        <w:tc>
          <w:tcPr>
            <w:tcW w:type="dxa" w:w="1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Strategic Level</w:t>
            </w:r>
          </w:p>
        </w:tc>
        <w:tc>
          <w:tcPr>
            <w:tcW w:type="dxa" w:w="36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 / What it measures</w:t>
            </w:r>
          </w:p>
        </w:tc>
        <w:tc>
          <w:tcPr>
            <w:tcW w:type="dxa" w:w="3800"/>
            <w:shd w:fill="0B254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 / Logic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REV_TOTAL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PNBP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Total realisasi PNBP lintas seluruh layanan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seluruh actual revenue pada periode.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REV_ACH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Achievement Revenue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capaian pendapatan terhadap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÷ target revenue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REV_GROWTH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Growth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Pertumbuhan pendapatan dibanding periode lalu.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(Actual periode ini - actual periode lalu) ÷ actual periode lalu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REV_SHARE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Contribution Share by Service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Kontribusi masing-masing layanan terhadap total PNBP.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Pendapatan layanan ÷ total PNBP × 100%.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/ PNBP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REV_GAP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Gap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actual pendapatan terhadap target.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target revenue.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BUDG_BURN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Burn Rate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Kecepatan realisasi belanja pada periode berjalan.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Realisasi bulan ini ÷ pagu atau terhadap profil target kumulatif.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BUDG_FCST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Year-End Absorption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Proyeksi serapan belanja sampai akhir tahun anggaran.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Forecast berbasis tren realisasi, kontrak, dan sisa hari kerja.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BUDG_LOW_UNIT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Unit Serapan Rendah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unit di bawah threshold serapan belanja target.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unit dengan absorption di bawah batas minimum.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Budget / Spending Control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BUDG_CONTRACT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Kontrak Berjalan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kontrak aktif/committed terhadap pagu belanja modal.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Contract committed ÷ pagu × 100%.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FIN_GAP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Revenue vs Spending Gap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terhadap belanja.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- actual spending.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FIN_UNLINKED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Belanja tanpa Sumber Dana Jelas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Belanja/program yang belum memiliki alokasi sumber dana pasti.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 / value belanja dengan sumber dana unlinked.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FIN_CTR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Cost to Revenue Ratio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biaya terhadap pendapatan untuk unit revenue center.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cost ÷ actual revenue.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Financial Linkage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FIN_UNIT_BAL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Unit Surplus/Defisit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Selisih pendapatan dan belanja per unit kerja.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Actual revenue unit - actual spending unit.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PDSI_DC_UPTIME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Uptime &amp; Ketersediaan Data Center Tier III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waktu operasional fasilitas ruang Data Center &amp; DRC tanpa unscheduled downtime (Standar Tier III ≥ 99,98%).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Menit Periode - Menit Unscheduled Downtime) ÷ Total Menit Periode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PDSI_DC_PUE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Power Usage Effectiveness (PUE Data Center)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efisiensi penggunaan energi listrik seluruh fasilitas data center (cooling + UPS) terhadap beban komputasi TI.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Energi Masuk Fasilitas DC (kWh) ÷ Total Energi Beban Peralatan TI (kWh)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PDSI_DC_RACK_OCC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Okupansi Rak Server (Rack Occupancy)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jumlah rak server yang terpasang dan beroperasi terhadap total daya tampung rak di Data Center &amp; DRC.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Rak Server Terisi Aktif ÷ Total Kapasitas Rak Ruang Server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PDSI_DC_STORAGE_UTIL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Kapasitas Storage SAN/NAS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kapasitas penyimpanan storage jaringan yang terpakai oleh database, VM, dan file dokumen SPBE.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Storage Terpakai (TB) ÷ Total Kapasitas Storage Terpasang (TB)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Data Center &amp; Server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PDSI_DC_BACKUP_SUCCESS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Keberhasilan Backup Data &amp; VM (RPO)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keberhasilan eksekusi backup berkala database dan snapshot VM server sesuai jadwal Recovery Point Objective.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Jadwal Backup Berhasil ÷ Total Jadwal Backup yang Dijalankan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PDSI_HD_SLA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SLA Penyelesaian Layanan TI &amp; Helpdesk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permintaan dan perbaikan layanan TI yang berhasil diselesaikan tepat waktu sesuai standar Service Level Agreement.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≤ Standar Waktu SLA ÷ Total Tiket Selesai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PDSI_HD_MTTR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Mean Time to Resolve (MTTR Insiden Layanan)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durasi penanganan sejak tiket gangguan diterima helpdesk hingga insiden terselesaikan secara tuntas.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Jam Penyelesaian Seluruh Tiket Insiden ÷ Total Tiket Insiden Terselesaikan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PDSI_HD_CSAT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Kepuasan Pengguna Layanan TI (CSAT)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Skor kepuasan pegawai dan pengguna satker BP Batam terhadap layanan dukungan teknis PDSI (Skala 1 - 5).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Skor Bintang dari Survei Kepuasan Responden Tiket Helpdesk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PDSI_HD_FCR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First Contact Resolution Rate (FCR)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tiket helpdesk yang terselesaikan tuntas pada kontak pertama tanpa eskalasi ke tim spesialis kedua.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Tiket Selesai pada Kontak Pertama ÷ Total Tiket Layanan Masuk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Layanan TI &amp; Helpdesk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PDSI_HD_VOLUME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Tiket Layanan TI Bulanan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total tiket permohonan layanan, akun sistem, perbaikan perangkat, dan troubleshooting jaringan.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COUNT([ID Tiket Layanan]) per Bulan Berjalan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PDSI_CYBER_MITIGATION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Mitigasi Ancaman Siber (Threat Mitigation)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serangan siber (DDoS, Malware, Brute Force, Web Defacement) yang berhasil diblokir oleh SOC PDSI BP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Percobaan Serangan Termitigasi ÷ Total Percobaan Serangan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PDSI_CYBER_MTTA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Waktu Respons Insiden Keamanan Kritis (MTTA)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waktu tanggap tim CSIRT sejak notifikasi insiden keamanan berstatus critical terpicu hingga langkah isolasi dilakukan.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Total Waktu Respons Insiden Critical (Menit) ÷ Total Insiden Critical Terdeteksi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PDSI_CYBER_PATCH_RATE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Rasio Penambalan Celah Keamanan (Patch Rate)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kerentanan keamanan sistem/server (CVE) yang telah diaplikasikan security patch berdasarkan hasil vulnerability assessment.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Celah Keamanan Tertambal ÷ Total Celah Keamanan Terdeteksi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Keamanan Siber &amp; SOC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PDSI_CYBER_KAMI_SCORE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Skor Kematangan Keamanan Informasi (Indeks KAMI)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Tingkat kematangan tata kelola keamanan siber berdasarkan evaluasi standar ISO 27001 dan instrumen Indeks KAMI BSSN.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Akumulasi Skor 5 Area Evaluasi Indeks KAMI BSSN (Skor Komposit Kesiapan)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PDSI_NET_FO_AVAIL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Reliabilitas Jaringan Backbone Fiber Optic (142 KM)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ketersediaan sambungan kabel fiber optic intra-kantor BP Batam (Batam Centre, Batu Ampar, Sekupang, Nongsa).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(Total Jam Operasional Jaringan FO - Jam Gangguan Putus Link) ÷ Total Jam Operasional Jaringan FO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PDSI_APP_CORE_UPTIME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Ketersediaan Aplikasi Inti SPBE BP Batam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Rata-rata uptime operasional 32 sistem informasi prioritas (SIMKEU, SIHARKAT, Land System, Inaportnet, Portal Eksekutif).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Rata-rata % Uptime Service HTTP/HTTPS Seluruh 32 Aplikasi Inti BP Batam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PDSI_SPBE_INDEX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Kematangan SPBE BP Batam (KemenPAN-RB)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evaluasi implementasi Sistem Pemerintahan Berbasis Elektronik yang ditetapkan oleh KemenPAN-RB (Target: ≥ 4,00).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Nilai Komposit 47 Indikator SPBE (Domain Kebijakan, Tata Kelola, Manajemen, dan Layanan)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PDSI / Jaringan FO &amp; Aplikasi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PDSI_NET_BANDWIDTH_UTIL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Utilisasi Bandwidth Internet &amp; Metro-E Terpusat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pemakaian kapasitas traffic pipa bandwidth internet dan interkoneksi WAN pada jam kerja puncak.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Peak Bandwidth Terpakai (Gbps) ÷ Total Kapasitas Bandwidth Terpasang (Gbps)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Kepuasan Pemohon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IKSS_IKM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Indeks Kepuasan Masyarakat (IKM) PTSP Permenpan RB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Pengukuran tingkat kepuasan penerima layanan perizinan terpadu dan Mal Pelayanan Publik (MPP) BP Batam berpedoman pada 9 unsur Permenpan RB No. 14 Tahun 2017.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SUM(Nilai Rata-Rata Unsur U1..U9 × 0,111) × 25 (Skala Konversi 0 - 100)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LIC_SLA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SLA Perizinan Tepat Waktu (SLA Compliance)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permohonan perizinan berusaha OSS RBA dan non-perizinan yang diselesaikan tepat waktu sesuai standar pelayanan.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SUM(IIF([Durasi Hari] &lt;= [Target SLA], 1, 0)) ÷ COUNT([Nomor Permohonan])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LIC_VOL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Total Permohonan Izin Masuk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Akumulasi seluruh berkas permohonan izin berusaha, penanaman modal, pertanahan, dan maritim yang masuk ke PTSP BP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Permohonan Masuk]) YTD TA Berjalan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Perizinan Berusaha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LIC_ISSUED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Rasio Efektivitas Penerbitan Izin (Issuance Ratio)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Financial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izin yang berhasil disetujui dan diterbitkan secara resmi terhadap total permohonan masuk.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Izin Berhasil Terbit ÷ Total Permohonan Masuk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Operasional Layanan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LIC_BACKLOG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Backlog Permohonan / Pending Cases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berkas permohonan perizinan yang masih dalam status verifikasi aktif dan belum diterbitkan.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COUNT(IIF([Status] = "Dalam Proses", [Nomor Permohonan], NULL))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Kecepatan Layanan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LIC_MLT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Median Lead Time (MLT) Pemrosesan Izin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Nilai tengah hari kerja yang dihabiskan sejak berkas diunggah hingga dokumen perizinan resmi diterbitkan.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MEDIAN(DATEDIFF("day", [Tgl Permohonan], [Tgl Terbit Izin]))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Manajemen Risiko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LIC_BOTTLENECK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Tingkat Keterlambatan Layanan (Bottleneck Rate)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Persentase permohonan yang mengalami keterlambatan melebihi batas waktu SLA yang memerlukan eskalasi.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SUM(IIF([Durasi Hari] &gt; [Target SLA], 1, 0)) ÷ Total Permohonan × 100%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Penanganan Pengaduan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SAT_CCR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Complaint Close Rate (CCR) SP4N-LAPOR! &amp; MPP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Executive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Rasio penyelesaian pengaduan masyarakat yang berhasil diselesaikan solusinya terhadap seluruh keluhan yang masuk.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Jumlah Pengaduan Selesai ÷ Total Pengaduan Masuk × 100%</w:t>
            </w:r>
          </w:p>
        </w:tc>
      </w:tr>
      <w:tr>
        <w:trPr>
          <w:cantSplit/>
        </w:trPr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Maritim &amp; Logistik</w:t>
            </w:r>
          </w:p>
        </w:tc>
        <w:tc>
          <w:tcPr>
            <w:tcW w:type="dxa" w:w="1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MAR_SKKBM</w:t>
            </w:r>
          </w:p>
        </w:tc>
        <w:tc>
          <w:tcPr>
            <w:tcW w:type="dxa" w:w="2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Volume Izin Bongkar Muat (SKKBM)</w:t>
            </w:r>
          </w:p>
        </w:tc>
        <w:tc>
          <w:tcPr>
            <w:tcW w:type="dxa" w:w="1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Program Driver</w:t>
            </w:r>
          </w:p>
        </w:tc>
        <w:tc>
          <w:tcPr>
            <w:tcW w:type="dxa" w:w="36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surat keterangan kerja bongkar muat barang yang diterbitkan untuk aktivitas pelabuhan di Batam.</w:t>
            </w:r>
          </w:p>
        </w:tc>
        <w:tc>
          <w:tcPr>
            <w:tcW w:type="dxa" w:w="38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SKKBM Terbit]) per Periode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PTSP / Maritim &amp; Logistik</w:t>
            </w:r>
          </w:p>
        </w:tc>
        <w:tc>
          <w:tcPr>
            <w:tcW w:type="dxa" w:w="1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CC"/>
                <w:sz w:val="16"/>
                <w:szCs w:val="16"/>
              </w:rPr>
              <w:t xml:space="preserve">MAR_SPJK</w:t>
            </w:r>
          </w:p>
        </w:tc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Persetujuan Jadwal Kedatangan Kapal (SPJK)</w:t>
            </w:r>
          </w:p>
        </w:tc>
        <w:tc>
          <w:tcPr>
            <w:tcW w:type="dxa" w:w="1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Operational Driver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4155"/>
                <w:sz w:val="16"/>
                <w:szCs w:val="16"/>
              </w:rPr>
              <w:t xml:space="preserve">Jumlah verifikasi dan persetujuan jadwal operasional kapal kargo dan penumpang di pelabuhan BP Batam.</w:t>
            </w:r>
          </w:p>
        </w:tc>
        <w:tc>
          <w:tcPr>
            <w:tcW w:type="dxa" w:w="3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COUNT([Nomor SPJK Terbit]) per Periode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Catatan Teknis Implementasi Dashboard: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1. Formula kalkulasi di atas telah diselaraskan dengan Calculated Fields Tableau Server / Power BI dan query SQL SIMKEU/PDSI BP Batam.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2. Klasifikasi Strategic Level: "Executive" (Pimpinan Tertinggi), "Program Driver" (Kepala Unit), "Operational Driver" (Operasional Teknis).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475569"/>
          <w:sz w:val="16"/>
          <w:szCs w:val="16"/>
        </w:rPr>
        <w:t xml:space="preserve">3. Data cut-off yang ditampilkan mengacu pada dokumen resmi BP_Batam_KPI_Dictionary_Updated.pdf.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2026-09-29T14:38:29.702Z</dcterms:created>
  <dcterms:modified xsi:type="dcterms:W3CDTF">2026-09-29T14:38:29.703Z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