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jc w:val="center"/>
      </w:pPr>
      <w:r>
        <w:rPr>
          <w:rFonts w:ascii="Calibri" w:cs="Calibri" w:eastAsia="Calibri" w:hAnsi="Calibri"/>
          <w:b/>
          <w:bCs/>
          <w:color w:val="0B2545"/>
          <w:sz w:val="26"/>
          <w:szCs w:val="26"/>
        </w:rPr>
        <w:t xml:space="preserve">BADAN PENGUSAHAAN BATAM (BP BATAM)</w:t>
      </w:r>
    </w:p>
    <w:p>
      <w:pPr>
        <w:spacing w:after="80"/>
        <w:jc w:val="center"/>
      </w:pPr>
      <w:r>
        <w:rPr>
          <w:rFonts w:ascii="Calibri" w:cs="Calibri" w:eastAsia="Calibri" w:hAnsi="Calibri"/>
          <w:b/>
          <w:bCs/>
          <w:color w:val="1F4E79"/>
          <w:sz w:val="22"/>
          <w:szCs w:val="22"/>
        </w:rPr>
        <w:t xml:space="preserve">KAMUS INDIKATOR KINERJA UTAMA (KPI DICTIONARY) &amp; FORMULA DASHBOARD EKSEKUTIF</w:t>
      </w:r>
    </w:p>
    <w:p>
      <w:pPr>
        <w:spacing w:after="240"/>
        <w:jc w:val="center"/>
      </w:pPr>
      <w:r>
        <w:rPr>
          <w:rFonts w:ascii="Calibri" w:cs="Calibri" w:eastAsia="Calibri" w:hAnsi="Calibri"/>
          <w:i/>
          <w:iCs/>
          <w:color w:val="475569"/>
          <w:sz w:val="18"/>
          <w:szCs w:val="18"/>
        </w:rPr>
        <w:t xml:space="preserve">Unit Kerja: Biro Keuangan &amp; Pusat Data dan Sistem Informasi (PDSI) | Cut-Off: April 2026</w:t>
      </w:r>
    </w:p>
    <w:p>
      <w:pPr>
        <w:spacing w:after="200"/>
      </w:pPr>
      <w:r>
        <w:rPr>
          <w:rFonts w:ascii="Calibri" w:cs="Calibri" w:eastAsia="Calibri" w:hAnsi="Calibri"/>
          <w:color w:val="334155"/>
          <w:sz w:val="18"/>
          <w:szCs w:val="18"/>
        </w:rPr>
        <w:t xml:space="preserve">Dokumen ini menyajikan definisi operasional, klasifikasi strategic level, dan formula kalkulasi (Calculated Fields) untuk seluruh indikator kinerja dan visualisasi yang ditampilkan pada Dashboard Eksekutif Command Center BP Batam. Disusun secara berurutan mulai dari unit </w:t>
      </w:r>
      <w:r>
        <w:rPr>
          <w:rFonts w:ascii="Calibri" w:cs="Calibri" w:eastAsia="Calibri" w:hAnsi="Calibri"/>
          <w:b/>
          <w:bCs/>
          <w:color w:val="0B2545"/>
          <w:sz w:val="18"/>
          <w:szCs w:val="18"/>
        </w:rPr>
        <w:t xml:space="preserve">Biro Keuangan</w:t>
      </w:r>
      <w:r>
        <w:rPr>
          <w:rFonts w:ascii="Calibri" w:cs="Calibri" w:eastAsia="Calibri" w:hAnsi="Calibri"/>
          <w:color w:val="334155"/>
          <w:sz w:val="18"/>
          <w:szCs w:val="18"/>
        </w:rPr>
        <w:t xml:space="preserve"> (Realisasi PNBP, Serapan Belanja, Likuiditas Kas Bank, Aging Piutang, Aset, dan Kemandirian Fiskal) dilanjutkan dengan unit </w:t>
      </w:r>
      <w:r>
        <w:rPr>
          <w:rFonts w:ascii="Calibri" w:cs="Calibri" w:eastAsia="Calibri" w:hAnsi="Calibri"/>
          <w:b/>
          <w:bCs/>
          <w:color w:val="0B2545"/>
          <w:sz w:val="18"/>
          <w:szCs w:val="18"/>
        </w:rPr>
        <w:t xml:space="preserve">Pusat Data dan Sistem Informasi (PDSI)</w:t>
      </w:r>
      <w:r>
        <w:rPr>
          <w:rFonts w:ascii="Calibri" w:cs="Calibri" w:eastAsia="Calibri" w:hAnsi="Calibri"/>
          <w:color w:val="334155"/>
          <w:sz w:val="18"/>
          <w:szCs w:val="18"/>
        </w:rPr>
        <w:t xml:space="preserve"> (Data Center Tier III, Layanan Helpdesk, Keamanan Siber SOC, Jaringan FO, dan Aplikasi SPBE).</w:t>
      </w:r>
    </w:p>
    <w:tbl>
      <w:tblPr>
        <w:tblW w:type="dxa" w:w="148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gridCol w:w="100"/>
      </w:tblGrid>
      <w:tr>
        <w:trPr>
          <w:cantSplit/>
          <w:tblHeader/>
        </w:trPr>
        <w:tc>
          <w:tcPr>
            <w:tcW w:type="dxa" w:w="1600"/>
            <w:shd w:fill="0B2545" w:val="clear"/>
            <w:tcMar>
              <w:top w:type="dxa" w:w="120"/>
              <w:left w:type="dxa" w:w="140"/>
              <w:bottom w:type="dxa" w:w="120"/>
              <w:right w:type="dxa" w:w="140"/>
            </w:tcMar>
          </w:tcPr>
          <w:p>
            <w:pPr>
              <w:jc w:val="center"/>
            </w:pPr>
            <w:r>
              <w:rPr>
                <w:rFonts w:ascii="Calibri" w:cs="Calibri" w:eastAsia="Calibri" w:hAnsi="Calibri"/>
                <w:b/>
                <w:bCs/>
                <w:color w:val="FFFFFF"/>
                <w:sz w:val="18"/>
                <w:szCs w:val="18"/>
              </w:rPr>
              <w:t xml:space="preserve">Domain</w:t>
            </w:r>
          </w:p>
        </w:tc>
        <w:tc>
          <w:tcPr>
            <w:tcW w:type="dxa" w:w="1700"/>
            <w:shd w:fill="0B2545" w:val="clear"/>
            <w:tcMar>
              <w:top w:type="dxa" w:w="120"/>
              <w:left w:type="dxa" w:w="140"/>
              <w:bottom w:type="dxa" w:w="120"/>
              <w:right w:type="dxa" w:w="140"/>
            </w:tcMar>
          </w:tcPr>
          <w:p>
            <w:pPr>
              <w:jc w:val="center"/>
            </w:pPr>
            <w:r>
              <w:rPr>
                <w:rFonts w:ascii="Calibri" w:cs="Calibri" w:eastAsia="Calibri" w:hAnsi="Calibri"/>
                <w:b/>
                <w:bCs/>
                <w:color w:val="FFFFFF"/>
                <w:sz w:val="18"/>
                <w:szCs w:val="18"/>
              </w:rPr>
              <w:t xml:space="preserve">KPI Code</w:t>
            </w:r>
          </w:p>
        </w:tc>
        <w:tc>
          <w:tcPr>
            <w:tcW w:type="dxa" w:w="2600"/>
            <w:shd w:fill="0B2545" w:val="clear"/>
            <w:tcMar>
              <w:top w:type="dxa" w:w="120"/>
              <w:left w:type="dxa" w:w="140"/>
              <w:bottom w:type="dxa" w:w="120"/>
              <w:right w:type="dxa" w:w="140"/>
            </w:tcMar>
          </w:tcPr>
          <w:p>
            <w:pPr>
              <w:jc w:val="left"/>
            </w:pPr>
            <w:r>
              <w:rPr>
                <w:rFonts w:ascii="Calibri" w:cs="Calibri" w:eastAsia="Calibri" w:hAnsi="Calibri"/>
                <w:b/>
                <w:bCs/>
                <w:color w:val="FFFFFF"/>
                <w:sz w:val="18"/>
                <w:szCs w:val="18"/>
              </w:rPr>
              <w:t xml:space="preserve">KPI Name</w:t>
            </w:r>
          </w:p>
        </w:tc>
        <w:tc>
          <w:tcPr>
            <w:tcW w:type="dxa" w:w="1600"/>
            <w:shd w:fill="0B2545" w:val="clear"/>
            <w:tcMar>
              <w:top w:type="dxa" w:w="120"/>
              <w:left w:type="dxa" w:w="140"/>
              <w:bottom w:type="dxa" w:w="120"/>
              <w:right w:type="dxa" w:w="140"/>
            </w:tcMar>
          </w:tcPr>
          <w:p>
            <w:pPr>
              <w:jc w:val="center"/>
            </w:pPr>
            <w:r>
              <w:rPr>
                <w:rFonts w:ascii="Calibri" w:cs="Calibri" w:eastAsia="Calibri" w:hAnsi="Calibri"/>
                <w:b/>
                <w:bCs/>
                <w:color w:val="FFFFFF"/>
                <w:sz w:val="18"/>
                <w:szCs w:val="18"/>
              </w:rPr>
              <w:t xml:space="preserve">Strategic Level</w:t>
            </w:r>
          </w:p>
        </w:tc>
        <w:tc>
          <w:tcPr>
            <w:tcW w:type="dxa" w:w="3600"/>
            <w:shd w:fill="0B2545" w:val="clear"/>
            <w:tcMar>
              <w:top w:type="dxa" w:w="120"/>
              <w:left w:type="dxa" w:w="140"/>
              <w:bottom w:type="dxa" w:w="120"/>
              <w:right w:type="dxa" w:w="140"/>
            </w:tcMar>
          </w:tcPr>
          <w:p>
            <w:pPr>
              <w:jc w:val="left"/>
            </w:pPr>
            <w:r>
              <w:rPr>
                <w:rFonts w:ascii="Calibri" w:cs="Calibri" w:eastAsia="Calibri" w:hAnsi="Calibri"/>
                <w:b/>
                <w:bCs/>
                <w:color w:val="FFFFFF"/>
                <w:sz w:val="18"/>
                <w:szCs w:val="18"/>
              </w:rPr>
              <w:t xml:space="preserve">Definition / What it measures</w:t>
            </w:r>
          </w:p>
        </w:tc>
        <w:tc>
          <w:tcPr>
            <w:tcW w:type="dxa" w:w="3700"/>
            <w:shd w:fill="0B2545" w:val="clear"/>
            <w:tcMar>
              <w:top w:type="dxa" w:w="120"/>
              <w:left w:type="dxa" w:w="140"/>
              <w:bottom w:type="dxa" w:w="120"/>
              <w:right w:type="dxa" w:w="140"/>
            </w:tcMar>
          </w:tcPr>
          <w:p>
            <w:pPr>
              <w:jc w:val="left"/>
            </w:pPr>
            <w:r>
              <w:rPr>
                <w:rFonts w:ascii="Calibri" w:cs="Calibri" w:eastAsia="Calibri" w:hAnsi="Calibri"/>
                <w:b/>
                <w:bCs/>
                <w:color w:val="FFFFFF"/>
                <w:sz w:val="18"/>
                <w:szCs w:val="18"/>
              </w:rPr>
              <w:t xml:space="preserve">Formula / Logic</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KEU_PNBP_TOTAL</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Realisasi PNBP Keseluruhan Unit</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Total pendapatan kas masuk PNBP BP Batam dari seluruh layanan satker operasional dan 4 Badan Usaha periode berjalan.</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SUM([Realisasi Pendapatan])</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KEU_PNBP_PCT</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 Capaian Target PNBP Periode Berjalan</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Persentase pencapaian penerimaan PNBP terhadap target DIPA/Renstra BP Batam tahun berjalan.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Actual PNBP periode berjalan ÷ target PNBP periode berjalan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KEU_PNBP_BIRO</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Realisasi PNBP Biro Keuangan</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Penerimaan jasa perbankan, bunga deposito, jasa giro rekening penampungan BLU, dan yield treasury Biro Keuangan.</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SUM(IIF([Nama Unit] = "Biro Keuangan", [Realisasi Pendapatan], 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KEU_PNBP_GROWTH</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Pertumbuhan Realisasi PNBP (YoY)</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Tingkat pertumbuhan akumulasi realisasi PNBP periode berjalan dibandingkan periode yang sama tahun anggaran sebelumnya.</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(Actual PNBP Periode Berjalan - Actual PNBP Periode Lalu) ÷ Actual PNBP Periode Lalu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KEU_PNBP_BU_RATIO</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Rasio Kontribusi PNBP Badan Usaha (IKP-02)</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Rasio kontribusi 4 unit bisnis komersial BLU (Pelabuhan, Bandara, Fasling/SPAM, RSBP) terhadap target total BP Batam.</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SUM(IIF([Nama Unit] IN ("Badan Usaha Pelabuhan", "Badan Usaha Bandar Udara", "Badan Usaha Fasling", "Badan Usaha RSBP"), [Realisasi Pendapatan], 0)) ÷ Target Total PNBP BP Batam</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PNBP</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KEU_PNBP_UNIT_SHARE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Porsi Kontribusi PNBP per Satuan Kerja</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Proporsi kontribusi pendapatan masing-masing satker (Pertanahan, Pelabuhan, Bandara, SPAM, dsb.) terhadap total kas masuk.</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SUM([Realisasi Unit]) ÷ SUM([Total Realisasi BP Batam])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KEU_BUDG_PAGU</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Pagu Anggaran DIPA BLU</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Total alokasi pagu anggaran belanja BLU BP Batam yang ditetapkan dalam dokumen DIPA tahun berjalan.</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SUM([Pagu Anggaran])</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KEU_BUDG_REAL</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Jumlah Realisasi Belanja Keseluruhan Unit</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Akumulasi realisasi pengeluaran kas belanja (SP2D) seluruh satuan kerja BP Batam periode berjalan.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SUM([Realisasi Belanja])</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KEU_BUDG_ABS_PCT</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 Serapan Belanja terhadap Pagu DIPA</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Tingkat persentase penyerapan anggaran belanja terhadap pagu DIPA berjalan (Threshold dinamis sesuai target kumulatif bulan berjalan).</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Realisasi belanja periode berjalan ÷ pagu anggaran periode berjalan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KEU_BUDG_SISA</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Sisa Pagu Anggaran Belanja DIPA</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Sisa saldo anggaran yang belum dicairkan hingga cut-off periode laporan.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SUM([Pagu Anggaran]) - SUM([Realisasi Belanja])</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KEU_BUDG_MODAL</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Serapan Belanja Modal (Infrastruktur Kawasan)</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Realisasi pengeluaran belanja modal fisik, jalan, dermaga pelabuhan, gedung, dan peralatan mesin strategis.</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SUM(IIF([Jenis Belanja] = "Belanja Modal", [Realisasi Belanja], 0)) ÷ SUM(IIF([Jenis Belanja] = "Belanja Modal", [Pagu Anggaran], 0))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Realisasi Belanja</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KEU_BUDG_OPR</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Serapan Belanja Operasional &amp; Pegawai</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Realisasi belanja rutin operasional kantor, belanja pegawai, dan pemeliharaan sarana prasarana.</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SUM(IIF([Jenis Belanja] IN ("Belanja Pegawai", "Belanja Barang"), [Realisasi Belanja], 0)) ÷ SUM(IIF([Jenis Belanja] IN ("Belanja Pegawai", "Belanja Barang"), [Pagu Anggaran], 0))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Arus Kas &amp; Bank</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KEU_KAS_TOTAL</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Saldo Kas dan Setara Kas Bank</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Total saldo likuid kas di bendahara penerimaan/pengeluaran dan seluruh rekening operasional BLU pada bank mitra.</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SUM([Saldo Akhir Rekening Bank])</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Arus Kas &amp; Bank</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KEU_CASH_COVER</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Cash Coverage Ratio (Ketahanan Kas)</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Daya tahan saldo kas likuid dalam membiayai rata-rata pengeluaran belanja bulanan BP Batam (Standar sehat: ≥ 3 Bulan).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Total Saldo Kas &amp; Bank ÷ (Total Belanja Anggaran Tahunan ÷ 12)</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Arus Kas &amp; Bank</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KEU_NET_CASHFLOW</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Arus Kas Bersih Bulanan (Net Cashflow)</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Net mutasi kas per periode antara akumulasi penerimaan kas masuk dengan pengeluaran kas keluar.</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SUM([Kas Masuk / Inflow]) - SUM([Kas Keluar / Outflow])</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KEU_PIUT_TOTAL</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Total Saldo Piutang Bruto</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Akumulasi seluruh tagihan faktur PNBP yang belum dilunasi debitur termasuk pokok dan akumulasi denda.</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SUM([Pokok Piutang Faktur]) + SUM([Perhitungan Denda])</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KEU_PIUT_LANCAR</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Piutang Lancar (Umur 0 - 30 Hari)</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Saldo tagihan faktur belum tertagih dengan umur jatuh tempo kurang dari atau sama dengan 30 hari kalender.</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SUM(IIF([Umur Piutang Hari] &lt;= 30, [Nilai Piutang], 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KEU_PIUT_KURANG_LANCAR</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Piutang Kurang Lancar (Umur 31 - 60 Hari)</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Saldo tagihan faktur tertunggak antara 31 sampai dengan 60 hari kalender.</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SUM(IIF([Umur Piutang Hari] &gt; 30 AND [Umur Piutang Hari] &lt;= 60, [Nilai Piutang], 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KEU_PIUT_DIRAGUKAN</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Piutang Diragukan (Umur 61 - 90 Hari)</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Saldo tagihan tertunggak 61 sampai dengan 90 hari kalender yang telah diterbitkan Surat Penagihan.</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SUM(IIF([Umur Piutang Hari] &gt; 60 AND [Umur Piutang Hari] &lt;= 90, [Nilai Piutang], 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KEU_PIUT_MACET</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Piutang Macet / Pelimpahan KPKNL (&gt; 90 Hari)</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Saldo piutang macet yang proses penagihannya dilimpahkan ke Panitia Urusan Piutang Negara / KPKNL sesuai PMK.</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SUM(IIF([Umur Piutang Hari] &gt; 90, [Nilai Piutang], 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Aging &amp; Piutang</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KEU_PIUT_COLLECTION_RATE</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Rasio Efektivitas Penagihan (Collection Rate)</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keberhasilan penerimaan pelunasan piutang dibanding total tagihan faktur jatuh tempo.</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(Total Pembayaran Piutang Tertagih ÷ Saldo Piutang Awal + Faktur Terbit Baru)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Pemanfaatan Aset</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KEU_ASET_KONSESI</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Pendapatan Konsesi &amp; Kerjasama Aset BLU</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Penerimaan PNBP dari kontrak konsesi pelabuhan, bandara, sewa BMN, dan pemanfaatan lahan komersial.</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SUM([Realisasi Jasa Konsesi dan Sewa BMN/Aset])</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Pemanfaatan Aset</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KEU_ASET_UTIL_RATE</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Tingkat Utilisasi Aset Produktif Kawasan</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luas atau unit aset BP Batam yang aktif berproduksi menghasilkan pendapatan PNBP.</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(Total Luas Aset Terutilisasi Produktif ÷ Total Luas Aset Produktif Tersedia)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Fiskal &amp; Tata Kelola</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KEU_SURPLUS_DEFISIT</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Surplus / Defisit Operasional Anggaran</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Selisih neto tahun berjalan antara total realisasi pendapatan PNBP dengan total realisasi belanja BLU.</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SUM([Realisasi Pendapatan]) - SUM([Realisasi Belanja])</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Fiskal &amp; Tata Kelola</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KEU_FISKAL_MANDIRI</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Rasio Kemandirian Fiskal BLU (IKS-07)</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Kemampuan pendapatan mandiri PNBP BP Batam dalam mendanai seluruh belanja operasional rutin tanpa rupiah murni.</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Realisasi Pendapatan PNBP Mandiri ÷ Realisasi Belanja Operasional Rutin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Biro Keuangan / Fiskal &amp; Tata Kelola</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KEU_IKPA_SCORE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Indeks Kinerja Pelaksanaan Anggaran (IKPA)</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Nilai komposit capaian 8 indikator pelaksanaan anggaran sesuai standar Ditjen Perbendaharaan Kemenkeu.</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SUM([Bobot Indikator Kemenkeu] × [Nilai Capaian Indikator]) (Skala 0 - 100)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Data Center &amp; Server</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PDSI_DC_UPTIME</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Uptime &amp; Ketersediaan Data Center Tier III</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waktu operasional fasilitas ruang Data Center &amp; DRC tanpa unscheduled downtime (Standar Tier III ≥ 99,98%).</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(Total Menit Periode - Menit Unscheduled Downtime) ÷ Total Menit Periode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Data Center &amp; Server</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PDSI_DC_PUE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Power Usage Effectiveness (PUE Data Center)</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Rasio efisiensi penggunaan energi listrik seluruh fasilitas data center (cooling + UPS) terhadap beban komputasi TI.</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Total Energi Masuk Fasilitas DC (kWh) ÷ Total Energi Beban Peralatan TI (kWh)</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Data Center &amp; Server</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PDSI_DC_RACK_OCC</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Tingkat Okupansi Rak Server (Rack Occupancy)</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jumlah rak server yang terpasang dan beroperasi terhadap total daya tampung rak di Data Center &amp; DRC.</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Rak Server Terisi Aktif ÷ Total Kapasitas Rak Ruang Server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Data Center &amp; Server</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PDSI_DC_STORAGE_UTIL</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Utilisasi Kapasitas Storage SAN/NAS Terpusat</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Persentase kapasitas penyimpanan storage jaringan yang terpakai oleh database, VM, dan file dokumen SPBE.</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Total Storage Terpakai (TB) ÷ Total Kapasitas Storage Terpasang (TB)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Data Center &amp; Server</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PDSI_DC_BACKUP_SUCCESS</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Tingkat Keberhasilan Backup Data &amp; VM (RPO)</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keberhasilan eksekusi backup berkala database dan snapshot VM server sesuai jadwal Recovery Point Objective.</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Jadwal Backup Berhasil ÷ Total Jadwal Backup yang Dijalankan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Layanan TI &amp; Helpdesk</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PDSI_HD_SLA</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SLA Penyelesaian Layanan TI &amp; Helpdesk</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Persentase tiket permintaan dan perbaikan layanan TI yang berhasil diselesaikan tepat waktu sesuai standar Service Level Agreement.</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Jumlah Tiket Selesai ≤ Standar Waktu SLA ÷ Total Tiket Selesai × 100%</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Layanan TI &amp; Helpdesk</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PDSI_HD_MTTR</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Mean Time to Resolve (MTTR Insiden Layanan)</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Rata-rata durasi penanganan sejak tiket gangguan diterima helpdesk hingga insiden terselesaikan secara tuntas.</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Total Jam Penyelesaian Seluruh Tiket Insiden ÷ Total Tiket Insiden Terselesaikan</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Layanan TI &amp; Helpdesk</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PDSI_HD_CSAT</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Indeks Kepuasan Pengguna Layanan TI (CSAT)</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Skor kepuasan pegawai dan pengguna satker BP Batam terhadap layanan dukungan teknis PDSI (Skala 1 - 5).</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Rata-rata Skor Bintang dari Survei Kepuasan Responden Tiket Helpdesk</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Layanan TI &amp; Helpdesk</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PDSI_HD_FCR</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First Contact Resolution Rate (FCR)</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tiket helpdesk yang terselesaikan tuntas pada kontak pertama tanpa eskalasi ke tim spesialis kedua.</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Tiket Selesai pada Kontak Pertama ÷ Total Tiket Layanan Masuk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Layanan TI &amp; Helpdesk</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PDSI_HD_VOLUME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Volume Tiket Layanan TI Bulanan</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Jumlah total tiket permohonan layanan, akun sistem, perbaikan perangkat, dan troubleshooting jaringan.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COUNT([ID Tiket Layanan]) per Bulan Berjalan</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Keamanan Siber &amp; SOC</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PDSI_CYBER_MITIGATION</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Tingkat Mitigasi Ancaman Siber (Threat Mitigation)</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serangan siber (DDoS, Malware, Brute Force, Web Defacement) yang berhasil diblokir oleh SOC PDSI BP Batam.</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Percobaan Serangan Termitigasi ÷ Total Percobaan Serangan Terdeteksi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Keamanan Siber &amp; SOC</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PDSI_CYBER_MTTA</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Waktu Respons Insiden Keamanan Kritis (MTTA)</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1E3A8A"/>
                <w:sz w:val="16"/>
                <w:szCs w:val="16"/>
              </w:rPr>
              <w:t xml:space="preserve">Program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Rata-rata waktu tanggap tim CSIRT sejak notifikasi insiden keamanan berstatus critical terpicu hingga langkah isolasi dilakukan.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Total Waktu Respons Insiden Critical (Menit) ÷ Total Insiden Critical Terdeteksi</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Keamanan Siber &amp; SOC</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PDSI_CYBER_PATCH_RATE</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Rasio Penambalan Celah Keamanan (Patch Rate)</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kerentanan keamanan sistem/server (CVE) yang telah diaplikasikan security patch berdasarkan hasil vulnerability assessment.</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Jumlah Celah Keamanan Tertambal ÷ Total Celah Keamanan Terdeteksi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Keamanan Siber &amp; SOC</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PDSI_CYBER_KAMI_SCORE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Skor Kematangan Keamanan Informasi (Indeks KAMI)</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Tingkat kematangan tata kelola keamanan siber berdasarkan evaluasi standar ISO 27001 dan instrumen Indeks KAMI BSSN.</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Akumulasi Skor 5 Area Evaluasi Indeks KAMI BSSN (Skor Komposit Kesiapan)</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Jaringan FO &amp; Aplikasi</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PDSI_NET_FO_AVAIL</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Reliabilitas Jaringan Backbone Fiber Optic (142 KM)</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Persentase ketersediaan sambungan kabel fiber optic intra-kantor BP Batam (Batam Centre, Batu Ampar, Sekupang, Nongsa).</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(Total Jam Operasional Jaringan FO - Jam Gangguan Putus Link) ÷ Total Jam Operasional Jaringan FO × 100%</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Jaringan FO &amp; Aplikasi</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PDSI_APP_CORE_UPTIME</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Ketersediaan Aplikasi Inti SPBE BP Batam</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Rata-rata uptime operasional 32 sistem informasi prioritas (SIMKEU, SIHARKAT, Land System, Inaportnet, Portal Eksekutif).</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Rata-rata % Uptime Service HTTP/HTTPS Seluruh 32 Aplikasi Inti BP Batam</w:t>
            </w:r>
          </w:p>
        </w:tc>
      </w:tr>
      <w:tr>
        <w:trPr>
          <w:cantSplit/>
        </w:trPr>
        <w:tc>
          <w:tcPr>
            <w:tcW w:type="dxa" w:w="1600"/>
            <w:shd w:fill="F0F4F8" w:val="clear"/>
            <w:tcMar>
              <w:top w:type="dxa" w:w="100"/>
              <w:left w:type="dxa" w:w="120"/>
              <w:bottom w:type="dxa" w:w="100"/>
              <w:right w:type="dxa" w:w="120"/>
            </w:tcMar>
          </w:tcPr>
          <w:p>
            <w:r>
              <w:rPr>
                <w:rFonts w:ascii="Calibri" w:cs="Calibri" w:eastAsia="Calibri" w:hAnsi="Calibri"/>
                <w:b/>
                <w:bCs/>
                <w:color w:val="334155"/>
                <w:sz w:val="16"/>
                <w:szCs w:val="16"/>
              </w:rPr>
              <w:t xml:space="preserve">PDSI / Jaringan FO &amp; Aplikasi</w:t>
            </w:r>
          </w:p>
        </w:tc>
        <w:tc>
          <w:tcPr>
            <w:tcW w:type="dxa" w:w="1700"/>
            <w:shd w:fill="F0F4F8" w:val="clear"/>
            <w:tcMar>
              <w:top w:type="dxa" w:w="100"/>
              <w:left w:type="dxa" w:w="120"/>
              <w:bottom w:type="dxa" w:w="100"/>
              <w:right w:type="dxa" w:w="120"/>
            </w:tcMar>
          </w:tcPr>
          <w:p>
            <w:r>
              <w:rPr>
                <w:rFonts w:ascii="Calibri" w:cs="Calibri" w:eastAsia="Calibri" w:hAnsi="Calibri"/>
                <w:b/>
                <w:bCs/>
                <w:color w:val="1F4E79"/>
                <w:sz w:val="16"/>
                <w:szCs w:val="16"/>
              </w:rPr>
              <w:t xml:space="preserve">PDSI_SPBE_INDEX</w:t>
            </w:r>
          </w:p>
        </w:tc>
        <w:tc>
          <w:tcPr>
            <w:tcW w:type="dxa" w:w="26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Indeks Kematangan SPBE BP Batam (KemenPAN-RB)</w:t>
            </w:r>
          </w:p>
        </w:tc>
        <w:tc>
          <w:tcPr>
            <w:tcW w:type="dxa" w:w="1600"/>
            <w:shd w:fill="F0F4F8" w:val="clear"/>
            <w:tcMar>
              <w:top w:type="dxa" w:w="100"/>
              <w:left w:type="dxa" w:w="120"/>
              <w:bottom w:type="dxa" w:w="100"/>
              <w:right w:type="dxa" w:w="120"/>
            </w:tcMar>
          </w:tcPr>
          <w:p>
            <w:pPr>
              <w:jc w:val="center"/>
            </w:pPr>
            <w:r>
              <w:rPr>
                <w:rFonts w:ascii="Calibri" w:cs="Calibri" w:eastAsia="Calibri" w:hAnsi="Calibri"/>
                <w:b/>
                <w:bCs/>
                <w:color w:val="0F172A"/>
                <w:sz w:val="16"/>
                <w:szCs w:val="16"/>
              </w:rPr>
              <w:t xml:space="preserve">Executive</w:t>
            </w:r>
          </w:p>
        </w:tc>
        <w:tc>
          <w:tcPr>
            <w:tcW w:type="dxa" w:w="3600"/>
            <w:shd w:fill="F0F4F8" w:val="clear"/>
            <w:tcMar>
              <w:top w:type="dxa" w:w="100"/>
              <w:left w:type="dxa" w:w="120"/>
              <w:bottom w:type="dxa" w:w="100"/>
              <w:right w:type="dxa" w:w="120"/>
            </w:tcMar>
          </w:tcPr>
          <w:p>
            <w:r>
              <w:rPr>
                <w:rFonts w:ascii="Calibri" w:cs="Calibri" w:eastAsia="Calibri" w:hAnsi="Calibri"/>
                <w:color w:val="334155"/>
                <w:sz w:val="16"/>
                <w:szCs w:val="16"/>
              </w:rPr>
              <w:t xml:space="preserve">Nilai evaluasi implementasi Sistem Pemerintahan Berbasis Elektronik yang ditetapkan oleh KemenPAN-RB (Target: ≥ 4,00).</w:t>
            </w:r>
          </w:p>
        </w:tc>
        <w:tc>
          <w:tcPr>
            <w:tcW w:type="dxa" w:w="3700"/>
            <w:shd w:fill="F0F4F8" w:val="clear"/>
            <w:tcMar>
              <w:top w:type="dxa" w:w="100"/>
              <w:left w:type="dxa" w:w="120"/>
              <w:bottom w:type="dxa" w:w="100"/>
              <w:right w:type="dxa" w:w="120"/>
            </w:tcMar>
          </w:tcPr>
          <w:p>
            <w:r>
              <w:rPr>
                <w:rFonts w:ascii="Calibri" w:cs="Calibri" w:eastAsia="Calibri" w:hAnsi="Calibri"/>
                <w:b/>
                <w:bCs/>
                <w:color w:val="0F172A"/>
                <w:sz w:val="16"/>
                <w:szCs w:val="16"/>
              </w:rPr>
              <w:t xml:space="preserve">Nilai Komposit 47 Indikator SPBE (Domain Kebijakan, Tata Kelola, Manajemen, dan Layanan)</w:t>
            </w:r>
          </w:p>
        </w:tc>
      </w:tr>
      <w:tr>
        <w:trPr>
          <w:cantSplit/>
        </w:trPr>
        <w:tc>
          <w:tcPr>
            <w:tcW w:type="dxa" w:w="1600"/>
            <w:shd w:fill="FFFFFF" w:val="clear"/>
            <w:tcMar>
              <w:top w:type="dxa" w:w="100"/>
              <w:left w:type="dxa" w:w="120"/>
              <w:bottom w:type="dxa" w:w="100"/>
              <w:right w:type="dxa" w:w="120"/>
            </w:tcMar>
          </w:tcPr>
          <w:p>
            <w:r>
              <w:rPr>
                <w:rFonts w:ascii="Calibri" w:cs="Calibri" w:eastAsia="Calibri" w:hAnsi="Calibri"/>
                <w:b/>
                <w:bCs/>
                <w:color w:val="334155"/>
                <w:sz w:val="16"/>
                <w:szCs w:val="16"/>
              </w:rPr>
              <w:t xml:space="preserve">PDSI / Jaringan FO &amp; Aplikasi</w:t>
            </w:r>
          </w:p>
        </w:tc>
        <w:tc>
          <w:tcPr>
            <w:tcW w:type="dxa" w:w="1700"/>
            <w:shd w:fill="FFFFFF" w:val="clear"/>
            <w:tcMar>
              <w:top w:type="dxa" w:w="100"/>
              <w:left w:type="dxa" w:w="120"/>
              <w:bottom w:type="dxa" w:w="100"/>
              <w:right w:type="dxa" w:w="120"/>
            </w:tcMar>
          </w:tcPr>
          <w:p>
            <w:r>
              <w:rPr>
                <w:rFonts w:ascii="Calibri" w:cs="Calibri" w:eastAsia="Calibri" w:hAnsi="Calibri"/>
                <w:b/>
                <w:bCs/>
                <w:color w:val="1F4E79"/>
                <w:sz w:val="16"/>
                <w:szCs w:val="16"/>
              </w:rPr>
              <w:t xml:space="preserve">PDSI_NET_BANDWIDTH_UTIL</w:t>
            </w:r>
          </w:p>
        </w:tc>
        <w:tc>
          <w:tcPr>
            <w:tcW w:type="dxa" w:w="26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Utilisasi Bandwidth Internet &amp; Metro-E Terpusat</w:t>
            </w:r>
          </w:p>
        </w:tc>
        <w:tc>
          <w:tcPr>
            <w:tcW w:type="dxa" w:w="1600"/>
            <w:shd w:fill="FFFFFF" w:val="clear"/>
            <w:tcMar>
              <w:top w:type="dxa" w:w="100"/>
              <w:left w:type="dxa" w:w="120"/>
              <w:bottom w:type="dxa" w:w="100"/>
              <w:right w:type="dxa" w:w="120"/>
            </w:tcMar>
          </w:tcPr>
          <w:p>
            <w:pPr>
              <w:jc w:val="center"/>
            </w:pPr>
            <w:r>
              <w:rPr>
                <w:rFonts w:ascii="Calibri" w:cs="Calibri" w:eastAsia="Calibri" w:hAnsi="Calibri"/>
                <w:b w:val="false"/>
                <w:bCs w:val="false"/>
                <w:color w:val="475569"/>
                <w:sz w:val="16"/>
                <w:szCs w:val="16"/>
              </w:rPr>
              <w:t xml:space="preserve">Operational Driver</w:t>
            </w:r>
          </w:p>
        </w:tc>
        <w:tc>
          <w:tcPr>
            <w:tcW w:type="dxa" w:w="3600"/>
            <w:shd w:fill="FFFFFF" w:val="clear"/>
            <w:tcMar>
              <w:top w:type="dxa" w:w="100"/>
              <w:left w:type="dxa" w:w="120"/>
              <w:bottom w:type="dxa" w:w="100"/>
              <w:right w:type="dxa" w:w="120"/>
            </w:tcMar>
          </w:tcPr>
          <w:p>
            <w:r>
              <w:rPr>
                <w:rFonts w:ascii="Calibri" w:cs="Calibri" w:eastAsia="Calibri" w:hAnsi="Calibri"/>
                <w:color w:val="334155"/>
                <w:sz w:val="16"/>
                <w:szCs w:val="16"/>
              </w:rPr>
              <w:t xml:space="preserve">Persentase pemakaian kapasitas traffic pipa bandwidth internet dan interkoneksi WAN pada jam kerja puncak.</w:t>
            </w:r>
          </w:p>
        </w:tc>
        <w:tc>
          <w:tcPr>
            <w:tcW w:type="dxa" w:w="3700"/>
            <w:shd w:fill="FFFFFF" w:val="clear"/>
            <w:tcMar>
              <w:top w:type="dxa" w:w="100"/>
              <w:left w:type="dxa" w:w="120"/>
              <w:bottom w:type="dxa" w:w="100"/>
              <w:right w:type="dxa" w:w="120"/>
            </w:tcMar>
          </w:tcPr>
          <w:p>
            <w:r>
              <w:rPr>
                <w:rFonts w:ascii="Calibri" w:cs="Calibri" w:eastAsia="Calibri" w:hAnsi="Calibri"/>
                <w:b/>
                <w:bCs/>
                <w:color w:val="0F172A"/>
                <w:sz w:val="16"/>
                <w:szCs w:val="16"/>
              </w:rPr>
              <w:t xml:space="preserve">Peak Bandwidth Terpakai (Gbps) ÷ Total Kapasitas Bandwidth Terpasang (Gbps) × 100%</w:t>
            </w:r>
          </w:p>
        </w:tc>
      </w:tr>
    </w:tbl>
    <w:p>
      <w:pPr>
        <w:spacing w:after="100" w:before="240"/>
      </w:pPr>
      <w:r>
        <w:rPr>
          <w:rFonts w:ascii="Calibri" w:cs="Calibri" w:eastAsia="Calibri" w:hAnsi="Calibri"/>
          <w:b/>
          <w:bCs/>
          <w:color w:val="0B2545"/>
          <w:sz w:val="18"/>
          <w:szCs w:val="18"/>
        </w:rPr>
        <w:t xml:space="preserve">Catatan Teknis Implementasi Dashboard:</w:t>
      </w:r>
    </w:p>
    <w:p>
      <w:pPr>
        <w:pStyle w:val="ListParagraph"/>
        <w:numPr>
          <w:ilvl w:val="0"/>
          <w:numId w:val="1"/>
        </w:numPr>
        <w:spacing w:after="60"/>
      </w:pPr>
      <w:r>
        <w:rPr>
          <w:rFonts w:ascii="Calibri" w:cs="Calibri" w:eastAsia="Calibri" w:hAnsi="Calibri"/>
          <w:color w:val="475569"/>
          <w:sz w:val="16"/>
          <w:szCs w:val="16"/>
        </w:rPr>
        <w:t xml:space="preserve">1. Formula kalkulasi di atas telah diselaraskan dengan fungsi Calculated Fields Tableau Server / Power BI dan query SQL SIMKEU/PDSI BP Batam.</w:t>
      </w:r>
    </w:p>
    <w:p>
      <w:pPr>
        <w:pStyle w:val="ListParagraph"/>
        <w:numPr>
          <w:ilvl w:val="0"/>
          <w:numId w:val="1"/>
        </w:numPr>
        <w:spacing w:after="60"/>
      </w:pPr>
      <w:r>
        <w:rPr>
          <w:rFonts w:ascii="Calibri" w:cs="Calibri" w:eastAsia="Calibri" w:hAnsi="Calibri"/>
          <w:color w:val="475569"/>
          <w:sz w:val="16"/>
          <w:szCs w:val="16"/>
        </w:rPr>
        <w:t xml:space="preserve">2. Klasifikasi Strategic Level: "Executive" (Tingkat Anggota Bidang / Kepala BP Batam), "Program Driver" (Tingkat Kepala Biro / Direktur), "Operational Driver" (Tingkat Kasubdit / Pejabat Pembuat Komitmen).</w:t>
      </w:r>
    </w:p>
    <w:p>
      <w:pPr>
        <w:pStyle w:val="ListParagraph"/>
        <w:numPr>
          <w:ilvl w:val="0"/>
          <w:numId w:val="1"/>
        </w:numPr>
        <w:spacing w:after="60"/>
      </w:pPr>
      <w:r>
        <w:rPr>
          <w:rFonts w:ascii="Calibri" w:cs="Calibri" w:eastAsia="Calibri" w:hAnsi="Calibri"/>
          <w:color w:val="475569"/>
          <w:sz w:val="16"/>
          <w:szCs w:val="16"/>
        </w:rPr>
        <w:t xml:space="preserve">3. Data cut-off yang ditampilkan mengacu pada dokumen resmi BP_Batam_KPI_Dictionary_Updated.pdf (Biro Keuangan Hal 2-6, PDSI Hal 7-11).</w:t>
      </w:r>
    </w:p>
    <w:sectPr>
      <w:pgSz w:w="11906" w:h="16838"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2026-09-08T03:50:59.996Z</dcterms:created>
  <dcterms:modified xsi:type="dcterms:W3CDTF">2026-09-08T03:50:59.996Z</dcterms:modified>
</cp:coreProperties>
</file>

<file path=docProps/custom.xml><?xml version="1.0" encoding="utf-8"?>
<Properties xmlns="http://schemas.openxmlformats.org/officeDocument/2006/custom-properties" xmlns:vt="http://schemas.openxmlformats.org/officeDocument/2006/docPropsVTypes"/>
</file>