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SANTO TOMAS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 of Information and Computing Sciences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24"/>
          <w:szCs w:val="24"/>
          <w:rtl w:val="0"/>
        </w:rPr>
        <w:t xml:space="preserve"> Term A/Y 2024-2025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Thesis Group Advisorship Agreement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Thesis Title: Developing a Hybrid Deep Learning Model Combining CNNs and Graph Neural Networks for Enhanced Glaucoma Detection in OCT Images by Integrating Local and Global Context.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agreement is made among the thesis group, the thesis adviser, and the thesis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Coordinator. The thesis group shall work under the technical guidance of the technical adviser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Thesis 1 and 2. The group is responsible for actively seeking advice and requesting assistance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adviser may be able to extend to improve the quality of their thesis.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thesis adviser shall, in good faith, provide technical expertise and direction to the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group with regard to the thesis content in Thesis 1 and 2. Because of the contributions of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thesis adviser to the success of the thesis, the group must acknowledge the adviser in the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cover as their thesis adviser. Should the thesis be submitted for inclusion in conferences,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publications, and the like, the adviser should be listed as a co-author of the thesis group members.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thesis coordinator shall monitor the partnership between the group and the adviser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the timely completion of thesis deliverables. The detailed tasks of each party are listed in the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manual.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Proponents:</w:t>
        <w:tab/>
        <w:tab/>
        <w:tab/>
        <w:tab/>
        <w:tab/>
        <w:tab/>
        <w:tab/>
        <w:t xml:space="preserve">        Conforme: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133350</wp:posOffset>
            </wp:positionV>
            <wp:extent cx="2121498" cy="4243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498" cy="4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209550</wp:posOffset>
            </wp:positionV>
            <wp:extent cx="728663" cy="65879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658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1.Alvear, Mark Josh</w:t>
        <w:tab/>
        <w:tab/>
        <w:tab/>
        <w:tab/>
        <w:tab/>
        <w:t xml:space="preserve">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2.Fermin, Raudmon Yvhan</w:t>
        <w:tab/>
        <w:tab/>
        <w:tab/>
        <w:tab/>
        <w:t xml:space="preserve">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119825</wp:posOffset>
            </wp:positionV>
            <wp:extent cx="1097292" cy="155248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92" cy="1552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123825</wp:posOffset>
            </wp:positionV>
            <wp:extent cx="995363" cy="49189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491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Naniong, Nigel Jan.</w:t>
        <w:tab/>
        <w:tab/>
        <w:tab/>
        <w:tab/>
        <w:t xml:space="preserve">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Tonido, Andrei Christian</w:t>
        <w:tab/>
        <w:tab/>
        <w:tab/>
        <w:tab/>
        <w:t xml:space="preserve">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Thesis Adviser: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Mr. Red M Castilla.</w:t>
        <w:tab/>
        <w:tab/>
        <w:t xml:space="preserve"> </w:t>
        <w:tab/>
        <w:tab/>
        <w:t xml:space="preserve">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Thesis Coordinator: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Assoc. Prof. Donata D. Acula, PhD Math Ed  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