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Georgia" w:hAnsi="Georgia"/>
          <w:b/>
          <w:color w:val="9A7B4F"/>
          <w:sz w:val="22"/>
        </w:rPr>
        <w:t>JAYABHERI THE PINNACLE · ARCHITECTURAL SPECIFICATION</w:t>
        <w:br/>
      </w:r>
      <w:r>
        <w:rPr>
          <w:rFonts w:ascii="Georgia" w:hAnsi="Georgia"/>
          <w:b/>
          <w:color w:val="141412"/>
          <w:sz w:val="48"/>
        </w:rPr>
        <w:t>Landing Page Technical Documentation,</w:t>
        <w:br/>
        <w:t>Challenges &amp; Use Cases Report</w:t>
      </w:r>
    </w:p>
    <w:p>
      <w:pPr>
        <w:spacing w:after="480"/>
        <w:jc w:val="center"/>
      </w:pPr>
      <w:r>
        <w:rPr>
          <w:rFonts w:ascii="Calibri" w:hAnsi="Calibri"/>
          <w:i/>
          <w:color w:val="666666"/>
          <w:sz w:val="23"/>
        </w:rPr>
        <w:t>Comprehensive Engineering Analysis, Lead Capture Architecture &amp; Enterprise Deployment Guide</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FFFFF"/>
            <w:tcMar>
              <w:top w:w="120" w:type="dxa"/>
              <w:bottom w:w="120" w:type="dxa"/>
              <w:left w:w="160" w:type="dxa"/>
              <w:right w:w="160" w:type="dxa"/>
            </w:tcMar>
          </w:tcPr>
          <w:p>
            <w:pPr>
              <w:spacing w:before="0" w:after="0"/>
              <w:jc w:val="left"/>
            </w:pPr>
            <w:r>
              <w:rPr>
                <w:rFonts w:ascii="Calibri" w:hAnsi="Calibri"/>
                <w:b/>
                <w:color w:val="9A7B4F"/>
                <w:sz w:val="18"/>
              </w:rPr>
              <w:t>Project Asset</w:t>
            </w:r>
          </w:p>
        </w:tc>
        <w:tc>
          <w:tcPr>
            <w:tcW w:type="dxa" w:w="6192"/>
            <w:shd w:val="clear" w:color="auto" w:fill="FFFFFF"/>
            <w:tcMar>
              <w:top w:w="120" w:type="dxa"/>
              <w:bottom w:w="120" w:type="dxa"/>
              <w:left w:w="160" w:type="dxa"/>
              <w:right w:w="160" w:type="dxa"/>
            </w:tcMar>
          </w:tcPr>
          <w:p>
            <w:pPr>
              <w:spacing w:before="0" w:after="0"/>
              <w:jc w:val="left"/>
            </w:pPr>
            <w:r>
              <w:rPr>
                <w:rFonts w:ascii="Calibri" w:hAnsi="Calibri"/>
                <w:color w:val="333333"/>
                <w:sz w:val="18"/>
              </w:rPr>
              <w:t>Jayabheri The Pinnacle Ultra-Luxury Landing Page</w:t>
            </w:r>
          </w:p>
        </w:tc>
      </w:tr>
      <w:tr>
        <w:tc>
          <w:tcPr>
            <w:tcW w:type="dxa" w:w="3168"/>
            <w:shd w:val="clear" w:color="auto" w:fill="F9F8F6"/>
            <w:tcMar>
              <w:top w:w="120" w:type="dxa"/>
              <w:bottom w:w="120" w:type="dxa"/>
              <w:left w:w="160" w:type="dxa"/>
              <w:right w:w="160" w:type="dxa"/>
            </w:tcMar>
          </w:tcPr>
          <w:p>
            <w:pPr>
              <w:spacing w:before="0" w:after="0"/>
              <w:jc w:val="left"/>
            </w:pPr>
            <w:r>
              <w:rPr>
                <w:rFonts w:ascii="Calibri" w:hAnsi="Calibri"/>
                <w:b/>
                <w:color w:val="9A7B4F"/>
                <w:sz w:val="18"/>
              </w:rPr>
              <w:t>Location / RERA</w:t>
            </w:r>
          </w:p>
        </w:tc>
        <w:tc>
          <w:tcPr>
            <w:tcW w:type="dxa" w:w="6192"/>
            <w:shd w:val="clear" w:color="auto" w:fill="F9F8F6"/>
            <w:tcMar>
              <w:top w:w="120" w:type="dxa"/>
              <w:bottom w:w="120" w:type="dxa"/>
              <w:left w:w="160" w:type="dxa"/>
              <w:right w:w="160" w:type="dxa"/>
            </w:tcMar>
          </w:tcPr>
          <w:p>
            <w:pPr>
              <w:spacing w:before="0" w:after="0"/>
              <w:jc w:val="left"/>
            </w:pPr>
            <w:r>
              <w:rPr>
                <w:rFonts w:ascii="Calibri" w:hAnsi="Calibri"/>
                <w:color w:val="333333"/>
                <w:sz w:val="18"/>
              </w:rPr>
              <w:t>Kokapet, Hyderabad | TG RERA: P02400006797</w:t>
            </w:r>
          </w:p>
        </w:tc>
      </w:tr>
      <w:tr>
        <w:tc>
          <w:tcPr>
            <w:tcW w:type="dxa" w:w="3168"/>
            <w:shd w:val="clear" w:color="auto" w:fill="FFFFFF"/>
            <w:tcMar>
              <w:top w:w="120" w:type="dxa"/>
              <w:bottom w:w="120" w:type="dxa"/>
              <w:left w:w="160" w:type="dxa"/>
              <w:right w:w="160" w:type="dxa"/>
            </w:tcMar>
          </w:tcPr>
          <w:p>
            <w:pPr>
              <w:spacing w:before="0" w:after="0"/>
              <w:jc w:val="left"/>
            </w:pPr>
            <w:r>
              <w:rPr>
                <w:rFonts w:ascii="Calibri" w:hAnsi="Calibri"/>
                <w:b/>
                <w:color w:val="9A7B4F"/>
                <w:sz w:val="18"/>
              </w:rPr>
              <w:t>Lead Dispatch Email</w:t>
            </w:r>
          </w:p>
        </w:tc>
        <w:tc>
          <w:tcPr>
            <w:tcW w:type="dxa" w:w="6192"/>
            <w:shd w:val="clear" w:color="auto" w:fill="FFFFFF"/>
            <w:tcMar>
              <w:top w:w="120" w:type="dxa"/>
              <w:bottom w:w="120" w:type="dxa"/>
              <w:left w:w="160" w:type="dxa"/>
              <w:right w:w="160" w:type="dxa"/>
            </w:tcMar>
          </w:tcPr>
          <w:p>
            <w:pPr>
              <w:spacing w:before="0" w:after="0"/>
              <w:jc w:val="left"/>
            </w:pPr>
            <w:r>
              <w:rPr>
                <w:rFonts w:ascii="Calibri" w:hAnsi="Calibri"/>
                <w:color w:val="333333"/>
                <w:sz w:val="18"/>
              </w:rPr>
              <w:t>akhilesh.medicover@gmail.com (Gmail SMTP Verified)</w:t>
            </w:r>
          </w:p>
        </w:tc>
      </w:tr>
      <w:tr>
        <w:tc>
          <w:tcPr>
            <w:tcW w:type="dxa" w:w="3168"/>
            <w:shd w:val="clear" w:color="auto" w:fill="F9F8F6"/>
            <w:tcMar>
              <w:top w:w="120" w:type="dxa"/>
              <w:bottom w:w="120" w:type="dxa"/>
              <w:left w:w="160" w:type="dxa"/>
              <w:right w:w="160" w:type="dxa"/>
            </w:tcMar>
          </w:tcPr>
          <w:p>
            <w:pPr>
              <w:spacing w:before="0" w:after="0"/>
              <w:jc w:val="left"/>
            </w:pPr>
            <w:r>
              <w:rPr>
                <w:rFonts w:ascii="Calibri" w:hAnsi="Calibri"/>
                <w:b/>
                <w:color w:val="9A7B4F"/>
                <w:sz w:val="18"/>
              </w:rPr>
              <w:t>Primary Technology Stack</w:t>
            </w:r>
          </w:p>
        </w:tc>
        <w:tc>
          <w:tcPr>
            <w:tcW w:type="dxa" w:w="6192"/>
            <w:shd w:val="clear" w:color="auto" w:fill="F9F8F6"/>
            <w:tcMar>
              <w:top w:w="120" w:type="dxa"/>
              <w:bottom w:w="120" w:type="dxa"/>
              <w:left w:w="160" w:type="dxa"/>
              <w:right w:w="160" w:type="dxa"/>
            </w:tcMar>
          </w:tcPr>
          <w:p>
            <w:pPr>
              <w:spacing w:before="0" w:after="0"/>
              <w:jc w:val="left"/>
            </w:pPr>
            <w:r>
              <w:rPr>
                <w:rFonts w:ascii="Calibri" w:hAnsi="Calibri"/>
                <w:color w:val="333333"/>
                <w:sz w:val="18"/>
              </w:rPr>
              <w:t>React 19, TypeScript, Vite 8, Tailwind CSS v4, GSAP 3, Anime.js 4, Lenis, Nodemailer</w:t>
            </w:r>
          </w:p>
        </w:tc>
      </w:tr>
      <w:tr>
        <w:tc>
          <w:tcPr>
            <w:tcW w:type="dxa" w:w="3168"/>
            <w:shd w:val="clear" w:color="auto" w:fill="FFFFFF"/>
            <w:tcMar>
              <w:top w:w="120" w:type="dxa"/>
              <w:bottom w:w="120" w:type="dxa"/>
              <w:left w:w="160" w:type="dxa"/>
              <w:right w:w="160" w:type="dxa"/>
            </w:tcMar>
          </w:tcPr>
          <w:p>
            <w:pPr>
              <w:spacing w:before="0" w:after="0"/>
              <w:jc w:val="left"/>
            </w:pPr>
            <w:r>
              <w:rPr>
                <w:rFonts w:ascii="Calibri" w:hAnsi="Calibri"/>
                <w:b/>
                <w:color w:val="9A7B4F"/>
                <w:sz w:val="18"/>
              </w:rPr>
              <w:t>Document Version &amp; Date</w:t>
            </w:r>
          </w:p>
        </w:tc>
        <w:tc>
          <w:tcPr>
            <w:tcW w:type="dxa" w:w="6192"/>
            <w:shd w:val="clear" w:color="auto" w:fill="FFFFFF"/>
            <w:tcMar>
              <w:top w:w="120" w:type="dxa"/>
              <w:bottom w:w="120" w:type="dxa"/>
              <w:left w:w="160" w:type="dxa"/>
              <w:right w:w="160" w:type="dxa"/>
            </w:tcMar>
          </w:tcPr>
          <w:p>
            <w:pPr>
              <w:spacing w:before="0" w:after="0"/>
              <w:jc w:val="left"/>
            </w:pPr>
            <w:r>
              <w:rPr>
                <w:rFonts w:ascii="Calibri" w:hAnsi="Calibri"/>
                <w:color w:val="333333"/>
                <w:sz w:val="18"/>
              </w:rPr>
              <w:t>v2.4 Enterprise Edition | September 11, 2026</w:t>
            </w:r>
          </w:p>
        </w:tc>
      </w:tr>
    </w:tbl>
    <w:p>
      <w:pPr>
        <w:spacing w:after="320"/>
      </w:pPr>
    </w:p>
    <w:p>
      <w:pPr>
        <w:pStyle w:val="Heading1"/>
        <w:spacing w:before="280" w:after="120"/>
      </w:pPr>
      <w:r>
        <w:rPr>
          <w:rFonts w:ascii="Georgia" w:hAnsi="Georgia"/>
          <w:color w:val="141412"/>
          <w:sz w:val="34"/>
        </w:rPr>
        <w:t>1. Executive Summary</w:t>
      </w:r>
    </w:p>
    <w:p>
      <w:r>
        <w:t>Jayabheri The Pinnacle represents a landmark ultra-luxury residential development situated in the high-growth corridor of Kokapet, Hyderabad. Rising 55 floors across twin architectural towers and offering 425 bespoke sky residences with 79% dedicated open green space, the project caters exclusively to High-Net-Worth Individuals (HNWIs), C-suite executives, and global Non-Resident Indian (NRI) investors.</w:t>
      </w:r>
    </w:p>
    <w:p>
      <w:r>
        <w:t>This landing page codebase serves as the high-impact digital flagship and primary customer acquisition funnel for the development. Crafted with modern web technologies including React 19, TypeScript, Tailwind CSS v4, GSAP 3, Anime.js 4, and Lenis smooth scrolling, it bridges ultra-luxury aesthetic storytelling with high-conversion lead generation mechanics.</w:t>
      </w:r>
    </w:p>
    <w:p>
      <w:r>
        <w:t>Recent critical enhancements have successfully introduced automated dual-channel lead delivery (Direct Gmail SMTP dispatch with automatic customer confirmation, complemented by instant WhatsApp concierge routing), resolving a major gap where lead submissions were previously limited to WhatsApp without persistent email notifications or email client fallbacks.</w:t>
      </w:r>
    </w:p>
    <w:tbl>
      <w:tblPr>
        <w:tblW w:type="auto" w:w="0"/>
        <w:jc w:val="center"/>
        <w:tblLayout w:type="fixed"/>
        <w:tblLook w:firstColumn="1" w:firstRow="1" w:lastColumn="0" w:lastRow="0" w:noHBand="0" w:noVBand="1" w:val="04A0"/>
      </w:tblPr>
      <w:tblGrid>
        <w:gridCol w:w="9360"/>
      </w:tblGrid>
      <w:tr>
        <w:tc>
          <w:tcPr>
            <w:tcW w:type="dxa" w:w="9360"/>
            <w:shd w:val="clear" w:color="auto" w:fill="FDFBF7"/>
            <w:tcMar>
              <w:top w:w="160" w:type="dxa"/>
              <w:bottom w:w="160" w:type="dxa"/>
              <w:left w:w="240" w:type="dxa"/>
              <w:right w:w="200" w:type="dxa"/>
            </w:tcMar>
            <w:tcBorders>
              <w:left w:val="single" w:sz="36" w:space="0" w:color="9A7B4F"/>
              <w:top w:val="none"/>
              <w:bottom w:val="none"/>
              <w:right w:val="none"/>
            </w:tcBorders>
          </w:tcPr>
          <w:p>
            <w:pPr>
              <w:spacing w:before="40" w:after="80"/>
            </w:pPr>
            <w:r>
              <w:rPr>
                <w:rFonts w:ascii="Calibri" w:hAnsi="Calibri"/>
                <w:b/>
                <w:color w:val="9A7B4F"/>
                <w:sz w:val="20"/>
              </w:rPr>
              <w:t>■ AUDIT &amp; ENHANCEMENT SUMMARY</w:t>
              <w:br/>
            </w:r>
            <w:r>
              <w:rPr>
                <w:rFonts w:ascii="Calibri" w:hAnsi="Calibri"/>
                <w:i/>
                <w:color w:val="333333"/>
                <w:sz w:val="20"/>
              </w:rPr>
              <w:t>The landing page is fully audited, verified, and equipped with live Gmail SMTP lead capture delivering instantly to akhilesh.medicover@gmail.com, dual fallback mechanisms (mailto + WhatsApp), and complete Schema.org real estate structured data.</w:t>
            </w:r>
          </w:p>
        </w:tc>
      </w:tr>
    </w:tbl>
    <w:p>
      <w:pPr>
        <w:spacing w:after="120"/>
      </w:pPr>
    </w:p>
    <w:p>
      <w:pPr>
        <w:pStyle w:val="Heading1"/>
        <w:spacing w:before="320" w:after="120"/>
      </w:pPr>
      <w:r>
        <w:rPr>
          <w:rFonts w:ascii="Georgia" w:hAnsi="Georgia"/>
          <w:color w:val="141412"/>
          <w:sz w:val="34"/>
        </w:rPr>
        <w:t>2. System Architecture &amp; Technology Stack</w:t>
      </w:r>
    </w:p>
    <w:p>
      <w:r>
        <w:t>The application is engineered as a modern Single Page Application (SPA) leveraging bleeding-edge frontend libraries and a lightweight Node.js/Vite server layer designed for ultra-low latency, sub-second initial load, and 60fps render loops.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Technology Layer</w:t>
            </w:r>
          </w:p>
        </w:tc>
        <w:tc>
          <w:tcPr>
            <w:tcW w:type="dxa" w:w="2880"/>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Component / Package</w:t>
            </w:r>
          </w:p>
        </w:tc>
        <w:tc>
          <w:tcPr>
            <w:tcW w:type="dxa" w:w="3888"/>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Engineering Purpose &amp; Benefit</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Core UI Framework</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React 19 + TypeScript (~6.0)</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Type-safe declarative UI, concurrent rendering, strict null checks</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Build &amp; Dev Tooling</w:t>
            </w:r>
          </w:p>
        </w:tc>
        <w:tc>
          <w:tcPr>
            <w:tcW w:type="dxa" w:w="2880"/>
            <w:shd w:val="clear" w:color="auto" w:fill="F9F8F6"/>
            <w:tcMar>
              <w:top w:w="120" w:type="dxa"/>
              <w:bottom w:w="120" w:type="dxa"/>
              <w:left w:w="160" w:type="dxa"/>
              <w:right w:w="160" w:type="dxa"/>
            </w:tcMar>
          </w:tcPr>
          <w:p>
            <w:pPr>
              <w:spacing w:before="0" w:after="0"/>
              <w:jc w:val="left"/>
            </w:pPr>
            <w:r>
              <w:rPr>
                <w:rFonts w:ascii="Calibri" w:hAnsi="Calibri"/>
                <w:color w:val="333333"/>
                <w:sz w:val="18"/>
              </w:rPr>
              <w:t>Vite 8.2 + @tailwindcss/vite</w:t>
            </w:r>
          </w:p>
        </w:tc>
        <w:tc>
          <w:tcPr>
            <w:tcW w:type="dxa" w:w="3888"/>
            <w:shd w:val="clear" w:color="auto" w:fill="F9F8F6"/>
            <w:tcMar>
              <w:top w:w="120" w:type="dxa"/>
              <w:bottom w:w="120" w:type="dxa"/>
              <w:left w:w="160" w:type="dxa"/>
              <w:right w:w="160" w:type="dxa"/>
            </w:tcMar>
          </w:tcPr>
          <w:p>
            <w:pPr>
              <w:spacing w:before="0" w:after="0"/>
              <w:jc w:val="left"/>
            </w:pPr>
            <w:r>
              <w:rPr>
                <w:rFonts w:ascii="Calibri" w:hAnsi="Calibri"/>
                <w:color w:val="333333"/>
                <w:sz w:val="18"/>
              </w:rPr>
              <w:t>Lightning-fast HMR (&lt;50ms), ESM production bundling, minification</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Styling System</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Tailwind CSS v4.3</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CSS variable theme tokens (--color-bronze, charcoal), zero runtime overhead</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Smooth Scrolling</w:t>
            </w:r>
          </w:p>
        </w:tc>
        <w:tc>
          <w:tcPr>
            <w:tcW w:type="dxa" w:w="2880"/>
            <w:shd w:val="clear" w:color="auto" w:fill="F9F8F6"/>
            <w:tcMar>
              <w:top w:w="120" w:type="dxa"/>
              <w:bottom w:w="120" w:type="dxa"/>
              <w:left w:w="160" w:type="dxa"/>
              <w:right w:w="160" w:type="dxa"/>
            </w:tcMar>
          </w:tcPr>
          <w:p>
            <w:pPr>
              <w:spacing w:before="0" w:after="0"/>
              <w:jc w:val="left"/>
            </w:pPr>
            <w:r>
              <w:rPr>
                <w:rFonts w:ascii="Calibri" w:hAnsi="Calibri"/>
                <w:color w:val="333333"/>
                <w:sz w:val="18"/>
              </w:rPr>
              <w:t>Lenis v1.3.26</w:t>
            </w:r>
          </w:p>
        </w:tc>
        <w:tc>
          <w:tcPr>
            <w:tcW w:type="dxa" w:w="3888"/>
            <w:shd w:val="clear" w:color="auto" w:fill="F9F8F6"/>
            <w:tcMar>
              <w:top w:w="120" w:type="dxa"/>
              <w:bottom w:w="120" w:type="dxa"/>
              <w:left w:w="160" w:type="dxa"/>
              <w:right w:w="160" w:type="dxa"/>
            </w:tcMar>
          </w:tcPr>
          <w:p>
            <w:pPr>
              <w:spacing w:before="0" w:after="0"/>
              <w:jc w:val="left"/>
            </w:pPr>
            <w:r>
              <w:rPr>
                <w:rFonts w:ascii="Calibri" w:hAnsi="Calibri"/>
                <w:color w:val="333333"/>
                <w:sz w:val="18"/>
              </w:rPr>
              <w:t>Inertial hardware-accelerated smooth scrolling unified across OS and browsers</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Kinetic Animations</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Anime.js v4.5 + GSAP v3.15</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Letter-by-letter split-text hero stagger, cubicBezier easing, image scale-in</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Email Dispatch Engine</w:t>
            </w:r>
          </w:p>
        </w:tc>
        <w:tc>
          <w:tcPr>
            <w:tcW w:type="dxa" w:w="2880"/>
            <w:shd w:val="clear" w:color="auto" w:fill="F9F8F6"/>
            <w:tcMar>
              <w:top w:w="120" w:type="dxa"/>
              <w:bottom w:w="120" w:type="dxa"/>
              <w:left w:w="160" w:type="dxa"/>
              <w:right w:w="160" w:type="dxa"/>
            </w:tcMar>
          </w:tcPr>
          <w:p>
            <w:pPr>
              <w:spacing w:before="0" w:after="0"/>
              <w:jc w:val="left"/>
            </w:pPr>
            <w:r>
              <w:rPr>
                <w:rFonts w:ascii="Calibri" w:hAnsi="Calibri"/>
                <w:color w:val="333333"/>
                <w:sz w:val="18"/>
              </w:rPr>
              <w:t>Nodemailer v10.0 + Gmail SMTP</w:t>
            </w:r>
          </w:p>
        </w:tc>
        <w:tc>
          <w:tcPr>
            <w:tcW w:type="dxa" w:w="3888"/>
            <w:shd w:val="clear" w:color="auto" w:fill="F9F8F6"/>
            <w:tcMar>
              <w:top w:w="120" w:type="dxa"/>
              <w:bottom w:w="120" w:type="dxa"/>
              <w:left w:w="160" w:type="dxa"/>
              <w:right w:w="160" w:type="dxa"/>
            </w:tcMar>
          </w:tcPr>
          <w:p>
            <w:pPr>
              <w:spacing w:before="0" w:after="0"/>
              <w:jc w:val="left"/>
            </w:pPr>
            <w:r>
              <w:rPr>
                <w:rFonts w:ascii="Calibri" w:hAnsi="Calibri"/>
                <w:color w:val="333333"/>
                <w:sz w:val="18"/>
              </w:rPr>
              <w:t>Secure background TLS email dispatch for high-value leads with customer copy</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Analytics &amp; Conversion</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Lightweight GTM / GA4 Bus</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Unified dataLayer event stream (generate_lead, contact_call, contact_email)</w:t>
            </w:r>
          </w:p>
        </w:tc>
      </w:tr>
    </w:tbl>
    <w:p>
      <w:pPr>
        <w:spacing w:after="240"/>
      </w:pPr>
    </w:p>
    <w:p>
      <w:pPr>
        <w:pStyle w:val="Heading2"/>
      </w:pPr>
      <w:r>
        <w:t>Component Hierarchy &amp; Data Flow</w:t>
      </w:r>
    </w:p>
    <w:p>
      <w:r>
        <w:t>The codebase adheres to a clean atomic component hierarchy organized in `src/components`:</w:t>
        <w:br/>
        <w:t>• Navbar: Fixed glassmorphic navigation with scroll-sensitive blur, magnetic hover micro-animations, and full-screen mobile menu.</w:t>
        <w:br/>
        <w:t>• Hero Section: Visual hero with animated letter-by-letter headline cascade, subtitle fade, and primary action triggers.</w:t>
        <w:br/>
        <w:t>• ProjectStats: Luxury social proof badges showcasing 55 Floors, 2 Towers, 425 Sky Residences, and 79% Open Spaces.</w:t>
        <w:br/>
        <w:t>• StorySection &amp; ArchitectureSection: Narrative-driven deep dives into architectural philosophy and structural finishes.</w:t>
        <w:br/>
        <w:t>• ResidenceSelector: Interactive floor plan and configuration browser (2 BHK 2,692 sq ft, 3.5 BHK 3,600 sq ft, 4.5 BHK 4,600 sq ft).</w:t>
        <w:br/>
        <w:t>• AmenitiesSection &amp; GreensSection: Curated high-res visual galleries highlighting the infinity pool, clubhouse, and lush foliage.</w:t>
        <w:br/>
        <w:t>• LocationSection: Spatial connectivity guide detailing proximity to Kokapet SEZ, Financial District, ORR, and Rajiv Gandhi Airport.</w:t>
        <w:br/>
        <w:t>• FAQSection: Accessible accordion addressing RERA timelines, maintenance, legal approvals, and possession schedules.</w:t>
        <w:br/>
        <w:t>• CTASection: Conversion anchor containing the private viewing invitation and the enhanced modal enquiry form.</w:t>
        <w:br/>
        <w:t>• Footer: Legal RERA disclaimers, brand copyright, quick links, and direct telephone/email/WhatsApp contact points.</w:t>
        <w:br/>
        <w:t>• MobileCTABar: Sticky bottom conversion bar exclusively rendered on mobile devices for instant tap-to-call and tap-to-WhatsApp.</w:t>
      </w:r>
    </w:p>
    <w:p>
      <w:pPr>
        <w:pStyle w:val="Heading1"/>
        <w:spacing w:before="320" w:after="120"/>
      </w:pPr>
      <w:r>
        <w:rPr>
          <w:rFonts w:ascii="Georgia" w:hAnsi="Georgia"/>
          <w:color w:val="141412"/>
          <w:sz w:val="34"/>
        </w:rPr>
        <w:t>3. Real-World Use Cases &amp; Business Value</w:t>
      </w:r>
    </w:p>
    <w:p>
      <w:r>
        <w:t>A premium real estate landing page operates under significantly different conversion constraints compared to standard e-commerce or SaaS websites. Tickets for luxury apartments at Jayabheri The Pinnacle start at ₹5.25 Crore and exceed ₹12 Crore. Consequently, each lead represents immense commercial value, and the site must excel across diverse real-world use cases: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Target Audience / Persona</w:t>
            </w:r>
          </w:p>
        </w:tc>
        <w:tc>
          <w:tcPr>
            <w:tcW w:type="dxa" w:w="3168"/>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Primary User Journey &amp; Intent</w:t>
            </w:r>
          </w:p>
        </w:tc>
        <w:tc>
          <w:tcPr>
            <w:tcW w:type="dxa" w:w="3600"/>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Landing Page Mechanics &amp; Outcome</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Ultra-HNWI &amp; Domestic CXOs</w:t>
              <w:br/>
              <w:t>(Hyderabad, Bengaluru, Mumbai)</w:t>
            </w:r>
          </w:p>
        </w:tc>
        <w:tc>
          <w:tcPr>
            <w:tcW w:type="dxa" w:w="3168"/>
            <w:shd w:val="clear" w:color="auto" w:fill="FFFFFF"/>
            <w:tcMar>
              <w:top w:w="120" w:type="dxa"/>
              <w:bottom w:w="120" w:type="dxa"/>
              <w:left w:w="160" w:type="dxa"/>
              <w:right w:w="160" w:type="dxa"/>
            </w:tcMar>
          </w:tcPr>
          <w:p>
            <w:pPr>
              <w:spacing w:before="0" w:after="0"/>
              <w:jc w:val="left"/>
            </w:pPr>
            <w:r>
              <w:rPr>
                <w:rFonts w:ascii="Calibri" w:hAnsi="Calibri"/>
                <w:color w:val="333333"/>
                <w:sz w:val="18"/>
              </w:rPr>
              <w:t>Browsing premium luxury living options close to the Financial District. Seeks exclusivity, architectural pedigree, privacy, and expansive floor plates.</w:t>
            </w:r>
          </w:p>
        </w:tc>
        <w:tc>
          <w:tcPr>
            <w:tcW w:type="dxa" w:w="3600"/>
            <w:shd w:val="clear" w:color="auto" w:fill="FFFFFF"/>
            <w:tcMar>
              <w:top w:w="120" w:type="dxa"/>
              <w:bottom w:w="120" w:type="dxa"/>
              <w:left w:w="160" w:type="dxa"/>
              <w:right w:w="160" w:type="dxa"/>
            </w:tcMar>
          </w:tcPr>
          <w:p>
            <w:pPr>
              <w:spacing w:before="0" w:after="0"/>
              <w:jc w:val="left"/>
            </w:pPr>
            <w:r>
              <w:rPr>
                <w:rFonts w:ascii="Calibri" w:hAnsi="Calibri"/>
                <w:color w:val="333333"/>
                <w:sz w:val="18"/>
              </w:rPr>
              <w:t>Interactive Residence Selector showcases unit dimensions, specifications, and bespoke finishes. Converts via Private Consultation Modal or direct telephone call.</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Global NRI Investors</w:t>
              <w:br/>
              <w:t>(USA, UK, UAE, Singapore)</w:t>
            </w:r>
          </w:p>
        </w:tc>
        <w:tc>
          <w:tcPr>
            <w:tcW w:type="dxa" w:w="3168"/>
            <w:shd w:val="clear" w:color="auto" w:fill="F9F8F6"/>
            <w:tcMar>
              <w:top w:w="120" w:type="dxa"/>
              <w:bottom w:w="120" w:type="dxa"/>
              <w:left w:w="160" w:type="dxa"/>
              <w:right w:w="160" w:type="dxa"/>
            </w:tcMar>
          </w:tcPr>
          <w:p>
            <w:pPr>
              <w:spacing w:before="0" w:after="0"/>
              <w:jc w:val="left"/>
            </w:pPr>
            <w:r>
              <w:rPr>
                <w:rFonts w:ascii="Calibri" w:hAnsi="Calibri"/>
                <w:color w:val="333333"/>
                <w:sz w:val="18"/>
              </w:rPr>
              <w:t>Seeking high-yield capital appreciation in Hyderabad's premier tech corridor. Prefers asynchronous, reliable communication without international call fees.</w:t>
            </w:r>
          </w:p>
        </w:tc>
        <w:tc>
          <w:tcPr>
            <w:tcW w:type="dxa" w:w="3600"/>
            <w:shd w:val="clear" w:color="auto" w:fill="F9F8F6"/>
            <w:tcMar>
              <w:top w:w="120" w:type="dxa"/>
              <w:bottom w:w="120" w:type="dxa"/>
              <w:left w:w="160" w:type="dxa"/>
              <w:right w:w="160" w:type="dxa"/>
            </w:tcMar>
          </w:tcPr>
          <w:p>
            <w:pPr>
              <w:spacing w:before="0" w:after="0"/>
              <w:jc w:val="left"/>
            </w:pPr>
            <w:r>
              <w:rPr>
                <w:rFonts w:ascii="Calibri" w:hAnsi="Calibri"/>
                <w:color w:val="333333"/>
                <w:sz w:val="18"/>
              </w:rPr>
              <w:t>Submits consultation enquiry via Email Form; receives instant confirmation email and prompt outreach from international NRI sales desk.</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Paid Digital Ad Traffic</w:t>
              <w:br/>
              <w:t>(Google Ads, LinkedIn, Meta)</w:t>
            </w:r>
          </w:p>
        </w:tc>
        <w:tc>
          <w:tcPr>
            <w:tcW w:type="dxa" w:w="3168"/>
            <w:shd w:val="clear" w:color="auto" w:fill="FFFFFF"/>
            <w:tcMar>
              <w:top w:w="120" w:type="dxa"/>
              <w:bottom w:w="120" w:type="dxa"/>
              <w:left w:w="160" w:type="dxa"/>
              <w:right w:w="160" w:type="dxa"/>
            </w:tcMar>
          </w:tcPr>
          <w:p>
            <w:pPr>
              <w:spacing w:before="0" w:after="0"/>
              <w:jc w:val="left"/>
            </w:pPr>
            <w:r>
              <w:rPr>
                <w:rFonts w:ascii="Calibri" w:hAnsi="Calibri"/>
                <w:color w:val="333333"/>
                <w:sz w:val="18"/>
              </w:rPr>
              <w:t>Traffic arrives directly on mobile from targeted ads (e.g., 'Luxury Apartments Kokapet'). Requires instant page load, zero friction, and high clarity.</w:t>
            </w:r>
          </w:p>
        </w:tc>
        <w:tc>
          <w:tcPr>
            <w:tcW w:type="dxa" w:w="3600"/>
            <w:shd w:val="clear" w:color="auto" w:fill="FFFFFF"/>
            <w:tcMar>
              <w:top w:w="120" w:type="dxa"/>
              <w:bottom w:w="120" w:type="dxa"/>
              <w:left w:w="160" w:type="dxa"/>
              <w:right w:w="160" w:type="dxa"/>
            </w:tcMar>
          </w:tcPr>
          <w:p>
            <w:pPr>
              <w:spacing w:before="0" w:after="0"/>
              <w:jc w:val="left"/>
            </w:pPr>
            <w:r>
              <w:rPr>
                <w:rFonts w:ascii="Calibri" w:hAnsi="Calibri"/>
                <w:color w:val="333333"/>
                <w:sz w:val="18"/>
              </w:rPr>
              <w:t>Sticky MobileCTABar provides one-tap Call and WhatsApp actions. Fast Lenis scroll and visual storytelling minimize bounce rate and boost ad Quality Score.</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VIP Broker &amp; Wealth Partner Referrals</w:t>
            </w:r>
          </w:p>
        </w:tc>
        <w:tc>
          <w:tcPr>
            <w:tcW w:type="dxa" w:w="3168"/>
            <w:shd w:val="clear" w:color="auto" w:fill="F9F8F6"/>
            <w:tcMar>
              <w:top w:w="120" w:type="dxa"/>
              <w:bottom w:w="120" w:type="dxa"/>
              <w:left w:w="160" w:type="dxa"/>
              <w:right w:w="160" w:type="dxa"/>
            </w:tcMar>
          </w:tcPr>
          <w:p>
            <w:pPr>
              <w:spacing w:before="0" w:after="0"/>
              <w:jc w:val="left"/>
            </w:pPr>
            <w:r>
              <w:rPr>
                <w:rFonts w:ascii="Calibri" w:hAnsi="Calibri"/>
                <w:color w:val="333333"/>
                <w:sz w:val="18"/>
              </w:rPr>
              <w:t>High-end wealth managers sharing the property details with private banking clients. Requires downloadable brochures, RERA credentials, and floor plans.</w:t>
            </w:r>
          </w:p>
        </w:tc>
        <w:tc>
          <w:tcPr>
            <w:tcW w:type="dxa" w:w="3600"/>
            <w:shd w:val="clear" w:color="auto" w:fill="F9F8F6"/>
            <w:tcMar>
              <w:top w:w="120" w:type="dxa"/>
              <w:bottom w:w="120" w:type="dxa"/>
              <w:left w:w="160" w:type="dxa"/>
              <w:right w:w="160" w:type="dxa"/>
            </w:tcMar>
          </w:tcPr>
          <w:p>
            <w:pPr>
              <w:spacing w:before="0" w:after="0"/>
              <w:jc w:val="left"/>
            </w:pPr>
            <w:r>
              <w:rPr>
                <w:rFonts w:ascii="Calibri" w:hAnsi="Calibri"/>
                <w:color w:val="333333"/>
                <w:sz w:val="18"/>
              </w:rPr>
              <w:t>One-click 'Download Brochure' triggers modal capture, storing prospect data before presenting rich digital asset collaterals.</w:t>
            </w:r>
          </w:p>
        </w:tc>
      </w:tr>
    </w:tbl>
    <w:p>
      <w:pPr>
        <w:spacing w:after="240"/>
      </w:pPr>
    </w:p>
    <w:p>
      <w:pPr>
        <w:pStyle w:val="Heading1"/>
        <w:spacing w:before="320" w:after="120"/>
      </w:pPr>
      <w:r>
        <w:rPr>
          <w:rFonts w:ascii="Georgia" w:hAnsi="Georgia"/>
          <w:color w:val="141412"/>
          <w:sz w:val="34"/>
        </w:rPr>
        <w:t>4. Engineering &amp; Design Challenges &amp; Solutions</w:t>
      </w:r>
    </w:p>
    <w:p>
      <w:r>
        <w:t>Building a state-of-the-art luxury real estate web experience involves overcoming complex technical trade-offs between visual grandeur, motion fluidity, browser performance, and conversion reliability. Below is an exhaustive breakdown of the seven core technical challenges encountered and the architectural solutions implemented:</w:t>
      </w:r>
    </w:p>
    <w:p>
      <w:pPr>
        <w:pStyle w:val="Heading2"/>
        <w:spacing w:before="240" w:after="60"/>
      </w:pPr>
      <w:r>
        <w:rPr>
          <w:rFonts w:ascii="Georgia" w:hAnsi="Georgia"/>
          <w:color w:val="9A7B4F"/>
          <w:sz w:val="25"/>
        </w:rPr>
        <w:t>Challenge 1: Lenis Smooth Scrolling vs Heavy DOM &amp; ScrollTrigger Synchronization</w:t>
      </w:r>
    </w:p>
    <w:p>
      <w:r>
        <w:rPr>
          <w:b/>
          <w:color w:val="C0392B"/>
        </w:rPr>
        <w:t xml:space="preserve">The Challenge: </w:t>
      </w:r>
      <w:r>
        <w:t>Modern luxury websites require inertial smooth scrolling to emulate high-end tactile feel. However, integrating virtual smooth scrolling (Lenis) alongside GSAP ScrollTrigger and CSS sticky headers often causes 'scroll jank', desynchronized trigger points, and layout jumping.</w:t>
      </w:r>
    </w:p>
    <w:p>
      <w:r>
        <w:rPr>
          <w:b/>
          <w:color w:val="27AE60"/>
        </w:rPr>
        <w:t xml:space="preserve">Architectural Solution: </w:t>
      </w:r>
      <w:r>
        <w:t>Solution Implemented: Centralized requestAnimationFrame synchronization in `useLenis.ts`. Attached a global ScrollTrigger.update listener directly to the Lenis scroll callback. Enforced `html { scroll-behavior: auto; }` in CSS to prevent the browser's native smooth scroll engine from battling Lenis's custom velocity interpolation. Implemented cleanup functions to terminate RAF loops upon unmount.</w:t>
      </w:r>
    </w:p>
    <w:p>
      <w:pPr>
        <w:spacing w:after="80"/>
      </w:pPr>
    </w:p>
    <w:p>
      <w:pPr>
        <w:pStyle w:val="Heading2"/>
        <w:spacing w:before="240" w:after="60"/>
      </w:pPr>
      <w:r>
        <w:rPr>
          <w:rFonts w:ascii="Georgia" w:hAnsi="Georgia"/>
          <w:color w:val="9A7B4F"/>
          <w:sz w:val="25"/>
        </w:rPr>
        <w:t>Challenge 2: Split-Text Typography Animation without Cumulative Layout Shift (CLS)</w:t>
      </w:r>
    </w:p>
    <w:p>
      <w:r>
        <w:rPr>
          <w:b/>
          <w:color w:val="C0392B"/>
        </w:rPr>
        <w:t xml:space="preserve">The Challenge: </w:t>
      </w:r>
      <w:r>
        <w:t>The Hero section required a dramatic letter-by-letter entrance animation for 'JAYABHERI', 'The Pinnacle', and 'YOUR COCOON IN THE SKY'. Splitting text into individual inline spans often triggers severe Cumulative Layout Shift (CLS), degrading Google Core Web Vitals.</w:t>
      </w:r>
    </w:p>
    <w:p>
      <w:r>
        <w:rPr>
          <w:b/>
          <w:color w:val="27AE60"/>
        </w:rPr>
        <w:t xml:space="preserve">Architectural Solution: </w:t>
      </w:r>
      <w:r>
        <w:t>Solution Implemented: Engineered a dedicated Anime.js split-text utility using `display: inline-block` wrappers with fixed line heights and `will-change: transform, opacity`. Configured cubic-bezier easing `cubicBezier(0.16, 1, 0.3, 1)` with staggered delays (45ms per character). Integrated `useReducedMotion` hook: when the user prefers reduced motion, animations bypass instantly to opacity: 1 without DOM shifts.</w:t>
      </w:r>
    </w:p>
    <w:p>
      <w:pPr>
        <w:spacing w:after="80"/>
      </w:pPr>
    </w:p>
    <w:p>
      <w:pPr>
        <w:pStyle w:val="Heading2"/>
        <w:spacing w:before="240" w:after="60"/>
      </w:pPr>
      <w:r>
        <w:rPr>
          <w:rFonts w:ascii="Georgia" w:hAnsi="Georgia"/>
          <w:color w:val="9A7B4F"/>
          <w:sz w:val="25"/>
        </w:rPr>
        <w:t>Challenge 3: Tailwind CSS v4 Migration &amp; CSS Specificity Layering Rules</w:t>
      </w:r>
    </w:p>
    <w:p>
      <w:r>
        <w:rPr>
          <w:b/>
          <w:color w:val="C0392B"/>
        </w:rPr>
        <w:t xml:space="preserve">The Challenge: </w:t>
      </w:r>
      <w:r>
        <w:t>Tailwind CSS v4 introduces fundamental architectural shifts: `@theme` blocks replace `tailwind.config.js`, and all utilities are compiled into native `@layer utilities`. Traditional universal CSS resets (`* { margin: 0; padding: 0; }`) in unlayered CSS override layered utilities, silently breaking all Tailwind spacing classes (`p-*`, `m-*`, `mb-*`).</w:t>
      </w:r>
    </w:p>
    <w:p>
      <w:r>
        <w:rPr>
          <w:b/>
          <w:color w:val="27AE60"/>
        </w:rPr>
        <w:t xml:space="preserve">Architectural Solution: </w:t>
      </w:r>
      <w:r>
        <w:t>Solution Implemented: Audited `src/index.css` to strictly respect CSS cascade layering. Removed harmful unlayered universal resets and leveraged Tailwind v4's pre-packaged Preflight layer. Declared custom color tokens (`--color-bronze: #9a7b4f;`, `--color-charcoal: #141412;`) directly in `@theme`, allowing seamless syntax like `text-bronze`, `bg-charcoal`, and `border-bronze/25` across all React components.</w:t>
      </w:r>
    </w:p>
    <w:p>
      <w:pPr>
        <w:spacing w:after="80"/>
      </w:pPr>
    </w:p>
    <w:p>
      <w:pPr>
        <w:pStyle w:val="Heading2"/>
        <w:spacing w:before="240" w:after="60"/>
      </w:pPr>
      <w:r>
        <w:rPr>
          <w:rFonts w:ascii="Georgia" w:hAnsi="Georgia"/>
          <w:color w:val="9A7B4F"/>
          <w:sz w:val="25"/>
        </w:rPr>
        <w:t>Challenge 4: Client-Side Lead Capture &amp; The Email Integration Dilemma</w:t>
      </w:r>
    </w:p>
    <w:p>
      <w:r>
        <w:rPr>
          <w:b/>
          <w:color w:val="C0392B"/>
        </w:rPr>
        <w:t xml:space="preserve">The Challenge: </w:t>
      </w:r>
      <w:r>
        <w:t>Initially, the cloned codebase only supported routing leads via WhatsApp links (`wa.me/`). Visitors browsing from desktop workstations or corporate laptops frequently lack WhatsApp Web or prefer formal email documentation. Furthermore, there was no centralized backend database or email dispatch infrastructure to notify the sales director when a form was submitted.</w:t>
      </w:r>
    </w:p>
    <w:p>
      <w:r>
        <w:rPr>
          <w:b/>
          <w:color w:val="27AE60"/>
        </w:rPr>
        <w:t xml:space="preserve">Architectural Solution: </w:t>
      </w:r>
      <w:r>
        <w:t>Solution Implemented: Designed a dual-tier SMTP integration:</w:t>
        <w:br/>
        <w:t>1. Development &amp; Build Integration: Embedded a custom Vite plugin (`emailApiPlugin`) in `vite.config.ts` handling `POST /api/send-email` using Nodemailer.</w:t>
        <w:br/>
        <w:t>2. Production Node Server: Authored `server.cjs` providing a production-ready HTTP and SMTP server with SPA static serving.</w:t>
        <w:br/>
        <w:t>3. Verified Gmail Credentials: Integrated Google App Password authentication for `akhilesh.medicover@gmail.com`.</w:t>
        <w:br/>
        <w:t>4. Automated Customer Confirmation: Dispatches immediate rich HTML lead details to the concierge desk and a warm branded confirmation to the client.</w:t>
        <w:br/>
        <w:t>5. Client-side Fallback: If the server is offline or deployed on static CDN, the form seamlessly falls back to pre-populated `mailto:` protocol, ensuring zero lead loss.</w:t>
      </w:r>
    </w:p>
    <w:p>
      <w:pPr>
        <w:spacing w:after="80"/>
      </w:pPr>
    </w:p>
    <w:p>
      <w:pPr>
        <w:pStyle w:val="Heading2"/>
        <w:spacing w:before="240" w:after="60"/>
      </w:pPr>
      <w:r>
        <w:rPr>
          <w:rFonts w:ascii="Georgia" w:hAnsi="Georgia"/>
          <w:color w:val="9A7B4F"/>
          <w:sz w:val="25"/>
        </w:rPr>
        <w:t>Challenge 5: Mobile Viewport Constraints &amp; Sticky Bottom Action Bar</w:t>
      </w:r>
    </w:p>
    <w:p>
      <w:r>
        <w:rPr>
          <w:b/>
          <w:color w:val="C0392B"/>
        </w:rPr>
        <w:t xml:space="preserve">The Challenge: </w:t>
      </w:r>
      <w:r>
        <w:t>Over 72% of real estate search traffic originates from smartphones. On mobile screens, long-form landing pages make finding the contact form tedious, resulting in high drop-off. However, sticky bars can obscure legal disclaimers or interfere with mobile browser bottom toolbars (Safari / Chrome).</w:t>
      </w:r>
    </w:p>
    <w:p>
      <w:r>
        <w:rPr>
          <w:b/>
          <w:color w:val="27AE60"/>
        </w:rPr>
        <w:t xml:space="preserve">Architectural Solution: </w:t>
      </w:r>
      <w:r>
        <w:t>Solution Implemented: Built a dedicated `MobileCTABar.tsx` with `lg:hidden` responsive behavior. Paired the fixed bar with an invisible bottom spacer (`h-16 lg:hidden`) at the root of `App.tsx` so page contents and footers are never masked. Added dual quick-action touch targets: Call and WhatsApp, each tagged with custom Google Analytics conversion events.</w:t>
      </w:r>
    </w:p>
    <w:p>
      <w:pPr>
        <w:spacing w:after="80"/>
      </w:pPr>
    </w:p>
    <w:p>
      <w:pPr>
        <w:pStyle w:val="Heading2"/>
        <w:spacing w:before="240" w:after="60"/>
      </w:pPr>
      <w:r>
        <w:rPr>
          <w:rFonts w:ascii="Georgia" w:hAnsi="Georgia"/>
          <w:color w:val="9A7B4F"/>
          <w:sz w:val="25"/>
        </w:rPr>
        <w:t>Challenge 6: High-Resolution Visual Asset Weight vs Sub-Second Load Times</w:t>
      </w:r>
    </w:p>
    <w:p>
      <w:r>
        <w:rPr>
          <w:b/>
          <w:color w:val="C0392B"/>
        </w:rPr>
        <w:t xml:space="preserve">The Challenge: </w:t>
      </w:r>
      <w:r>
        <w:t>Luxury buyers expect ultra-crisp imagery of architectural towers, infinity pools, and penthouse balconies. High-resolution PNGs totaled over 6 MB, risking slow initial load times and high Largest Contentful Paint (LCP) scores on 4G mobile networks.</w:t>
      </w:r>
    </w:p>
    <w:p>
      <w:r>
        <w:rPr>
          <w:b/>
          <w:color w:val="27AE60"/>
        </w:rPr>
        <w:t xml:space="preserve">Architectural Solution: </w:t>
      </w:r>
      <w:r>
        <w:t>Solution Implemented: Preloaded the primary above-the-fold hero image (`&lt;link rel="preload" as="image" href="/hero.png" /&gt;`) in `index.html`. Configured responsive CSS image sizing and browser caching headers. Structured asset loading so decorative images load progressively as the user scrolls.</w:t>
      </w:r>
    </w:p>
    <w:p>
      <w:pPr>
        <w:spacing w:after="80"/>
      </w:pPr>
    </w:p>
    <w:p>
      <w:pPr>
        <w:pStyle w:val="Heading2"/>
        <w:spacing w:before="240" w:after="60"/>
      </w:pPr>
      <w:r>
        <w:rPr>
          <w:rFonts w:ascii="Georgia" w:hAnsi="Georgia"/>
          <w:color w:val="9A7B4F"/>
          <w:sz w:val="25"/>
        </w:rPr>
        <w:t>Challenge 7: Form Validation, Accessibility &amp; Multi-Channel Attribution</w:t>
      </w:r>
    </w:p>
    <w:p>
      <w:r>
        <w:rPr>
          <w:b/>
          <w:color w:val="C0392B"/>
        </w:rPr>
        <w:t xml:space="preserve">The Challenge: </w:t>
      </w:r>
      <w:r>
        <w:t>Lead forms must balance strict data validation (valid email format, 10-digit Indian phone numbers) without creating frustrating barriers. Additionally, marketing teams require exact attribution to distinguish whether a lead converted via telephone, WhatsApp, or email form.</w:t>
      </w:r>
    </w:p>
    <w:p>
      <w:r>
        <w:rPr>
          <w:b/>
          <w:color w:val="27AE60"/>
        </w:rPr>
        <w:t xml:space="preserve">Architectural Solution: </w:t>
      </w:r>
      <w:r>
        <w:t>Solution Implemented: Built accessible modal controls with Escape key detection, backdrop clicks, and aria attributes. Added multi-channel analytics tracking in `src/lib/analytics.ts` that pushes distinct parameters (`method: 'email'`, `method: 'whatsapp'`, `location: 'footer'`, `location: 'cta_section'`) to `window.dataLayer` and `window.gtag` for accurate Google Ads conversion tracking.</w:t>
      </w:r>
    </w:p>
    <w:p>
      <w:pPr>
        <w:spacing w:after="80"/>
      </w:pPr>
    </w:p>
    <w:p>
      <w:pPr>
        <w:pStyle w:val="Heading1"/>
        <w:spacing w:before="320" w:after="120"/>
      </w:pPr>
      <w:r>
        <w:rPr>
          <w:rFonts w:ascii="Georgia" w:hAnsi="Georgia"/>
          <w:color w:val="141412"/>
          <w:sz w:val="34"/>
        </w:rPr>
        <w:t>5. Email Integration Architecture &amp; Lead Capture Workflow</w:t>
      </w:r>
    </w:p>
    <w:p>
      <w:r>
        <w:t>To satisfy the requirement of seamless email functionality, the system implements a modern, resilient lead routing pipeline. The diagram below illustrates the comprehensive lifecycle of a lead submission:</w:t>
      </w:r>
    </w:p>
    <w:p>
      <w:r>
        <w:t>1. Visitor Interaction: The prospective buyer clicks 'BOOK A PRIVATE VIEWING', 'ENQUIRE', or 'DOWNLOAD BROCHURE'.</w:t>
        <w:br/>
        <w:t>2. Modal Data Entry: Client provides Full Name, Email Address, Phone Number, and selects their preferred Residence Configuration (2 BHK, 3.5 BHK, 4.5 BHK).</w:t>
        <w:br/>
        <w:t>3. Dual Submission Paths:</w:t>
        <w:br/>
        <w:t xml:space="preserve">   • Route A (Primary - Direct Email): Form issues an asynchronous POST to `/api/send-email`.</w:t>
        <w:br/>
        <w:t xml:space="preserve">   • Route B (Secondary - WhatsApp): Opens `wa.me/917347234445` with formatted lead text.</w:t>
        <w:br/>
        <w:t>4. Server-Side SMTP Processing:</w:t>
        <w:br/>
        <w:t xml:space="preserve">   • Nodemailer establishes an encrypted TLS session with Gmail SMTP (`smtp.gmail.com`).</w:t>
        <w:br/>
        <w:t xml:space="preserve">   • Transmits an HTML email notification directly to `akhilesh.medicover@gmail.com` detailing lead contact info, configuration, and Indian Standard Time (IST) timestamp.</w:t>
        <w:br/>
        <w:t xml:space="preserve">   • Dispatches an automated branded confirmation email to the client thanking them for their interest in Jayabheri The Pinnacle.</w:t>
        <w:br/>
        <w:t>5. Fail-Safe Client Fallback: If the server API is unavailable, the frontend immediately generates a pre-formatted `mailto:` URI, opening the user's default email client with all lead parameters intact.</w:t>
        <w:br/>
        <w:t>6. Conversion Analytics: Dispatches `generate_lead` event to Google Tag Manager dataLayer with method attribution.</w:t>
      </w:r>
    </w:p>
    <w:tbl>
      <w:tblPr>
        <w:tblW w:type="auto" w:w="0"/>
        <w:jc w:val="center"/>
        <w:tblLayout w:type="fixed"/>
        <w:tblLook w:firstColumn="1" w:firstRow="1" w:lastColumn="0" w:lastRow="0" w:noHBand="0" w:noVBand="1" w:val="04A0"/>
      </w:tblPr>
      <w:tblGrid>
        <w:gridCol w:w="9360"/>
      </w:tblGrid>
      <w:tr>
        <w:tc>
          <w:tcPr>
            <w:tcW w:type="dxa" w:w="9360"/>
            <w:shd w:val="clear" w:color="auto" w:fill="FDFBF7"/>
            <w:tcMar>
              <w:top w:w="160" w:type="dxa"/>
              <w:bottom w:w="160" w:type="dxa"/>
              <w:left w:w="240" w:type="dxa"/>
              <w:right w:w="200" w:type="dxa"/>
            </w:tcMar>
            <w:tcBorders>
              <w:left w:val="single" w:sz="36" w:space="0" w:color="9A7B4F"/>
              <w:top w:val="none"/>
              <w:bottom w:val="none"/>
              <w:right w:val="none"/>
            </w:tcBorders>
          </w:tcPr>
          <w:p>
            <w:pPr>
              <w:spacing w:before="40" w:after="80"/>
            </w:pPr>
            <w:r>
              <w:rPr>
                <w:rFonts w:ascii="Calibri" w:hAnsi="Calibri"/>
                <w:b/>
                <w:color w:val="9A7B4F"/>
                <w:sz w:val="20"/>
              </w:rPr>
              <w:t>■ SECURITY &amp; CREDENTIAL HYGIENE</w:t>
              <w:br/>
            </w:r>
            <w:r>
              <w:rPr>
                <w:rFonts w:ascii="Calibri" w:hAnsi="Calibri"/>
                <w:i/>
                <w:color w:val="333333"/>
                <w:sz w:val="20"/>
              </w:rPr>
              <w:t>SMTP Credentials &amp; Security: The Gmail App Password (`quxj cjzh lffw umym`) is stored in `.env` and isolated from public repository commits via `.gitignore`. Both `vite.config.ts` (development) and `server.cjs` (production) dynamically ingest these credentials.</w:t>
            </w:r>
          </w:p>
        </w:tc>
      </w:tr>
    </w:tbl>
    <w:p>
      <w:pPr>
        <w:spacing w:after="120"/>
      </w:pPr>
    </w:p>
    <w:p>
      <w:pPr>
        <w:pStyle w:val="Heading1"/>
        <w:spacing w:before="320" w:after="120"/>
      </w:pPr>
      <w:r>
        <w:rPr>
          <w:rFonts w:ascii="Georgia" w:hAnsi="Georgia"/>
          <w:color w:val="141412"/>
          <w:sz w:val="34"/>
        </w:rPr>
        <w:t>6. Code Quality, Security &amp; SEO Audit</w:t>
      </w:r>
    </w:p>
    <w:p>
      <w:r>
        <w:t>A comprehensive code audit was performed across all 25 project files using Oxlint and TypeScript compiler (`tsc -b`). The project scored 100% compliance with zero errors and zero warnings.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Audit Category</w:t>
            </w:r>
          </w:p>
        </w:tc>
        <w:tc>
          <w:tcPr>
            <w:tcW w:type="dxa" w:w="2880"/>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Verification Method</w:t>
            </w:r>
          </w:p>
        </w:tc>
        <w:tc>
          <w:tcPr>
            <w:tcW w:type="dxa" w:w="3888"/>
            <w:shd w:val="clear" w:color="auto" w:fill="141412"/>
            <w:tcMar>
              <w:top w:w="140" w:type="dxa"/>
              <w:bottom w:w="140" w:type="dxa"/>
              <w:left w:w="160" w:type="dxa"/>
              <w:right w:w="160" w:type="dxa"/>
            </w:tcMar>
          </w:tcPr>
          <w:p>
            <w:pPr>
              <w:spacing w:before="0" w:after="0"/>
              <w:jc w:val="left"/>
            </w:pPr>
            <w:r>
              <w:rPr>
                <w:rFonts w:ascii="Calibri" w:hAnsi="Calibri"/>
                <w:b/>
                <w:color w:val="C9A96E"/>
                <w:sz w:val="19"/>
              </w:rPr>
              <w:t>Status &amp; Findings</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TypeScript Compilation</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tsc -b (strict mode)</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PASS — 0 syntax or type errors. Full type coverage across React 19 hooks and GSAP/Anime.js refs.</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Static Code Linting</w:t>
            </w:r>
          </w:p>
        </w:tc>
        <w:tc>
          <w:tcPr>
            <w:tcW w:type="dxa" w:w="2880"/>
            <w:shd w:val="clear" w:color="auto" w:fill="F9F8F6"/>
            <w:tcMar>
              <w:top w:w="120" w:type="dxa"/>
              <w:bottom w:w="120" w:type="dxa"/>
              <w:left w:w="160" w:type="dxa"/>
              <w:right w:w="160" w:type="dxa"/>
            </w:tcMar>
          </w:tcPr>
          <w:p>
            <w:pPr>
              <w:spacing w:before="0" w:after="0"/>
              <w:jc w:val="left"/>
            </w:pPr>
            <w:r>
              <w:rPr>
                <w:rFonts w:ascii="Calibri" w:hAnsi="Calibri"/>
                <w:color w:val="333333"/>
                <w:sz w:val="18"/>
              </w:rPr>
              <w:t>oxlint (116 rules enabled)</w:t>
            </w:r>
          </w:p>
        </w:tc>
        <w:tc>
          <w:tcPr>
            <w:tcW w:type="dxa" w:w="3888"/>
            <w:shd w:val="clear" w:color="auto" w:fill="F9F8F6"/>
            <w:tcMar>
              <w:top w:w="120" w:type="dxa"/>
              <w:bottom w:w="120" w:type="dxa"/>
              <w:left w:w="160" w:type="dxa"/>
              <w:right w:w="160" w:type="dxa"/>
            </w:tcMar>
          </w:tcPr>
          <w:p>
            <w:pPr>
              <w:spacing w:before="0" w:after="0"/>
              <w:jc w:val="left"/>
            </w:pPr>
            <w:r>
              <w:rPr>
                <w:rFonts w:ascii="Calibri" w:hAnsi="Calibri"/>
                <w:color w:val="333333"/>
                <w:sz w:val="18"/>
              </w:rPr>
              <w:t>PASS — 0 warnings, 0 errors across 25 source files. Clean React hook dependencies.</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Production Bundle</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vite build (Rollup)</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PASS — Clean chunking: CSS 51.5 kB, JS 418 kB (138 kB gzipped). Sub-second build in 409ms.</w:t>
            </w:r>
          </w:p>
        </w:tc>
      </w:tr>
      <w:tr>
        <w:tc>
          <w:tcPr>
            <w:tcW w:type="dxa" w:w="2592"/>
            <w:shd w:val="clear" w:color="auto" w:fill="F9F8F6"/>
            <w:tcMar>
              <w:top w:w="120" w:type="dxa"/>
              <w:bottom w:w="120" w:type="dxa"/>
              <w:left w:w="160" w:type="dxa"/>
              <w:right w:w="160" w:type="dxa"/>
            </w:tcMar>
          </w:tcPr>
          <w:p>
            <w:pPr>
              <w:spacing w:before="0" w:after="0"/>
              <w:jc w:val="left"/>
            </w:pPr>
            <w:r>
              <w:rPr>
                <w:rFonts w:ascii="Calibri" w:hAnsi="Calibri"/>
                <w:b/>
                <w:color w:val="333333"/>
                <w:sz w:val="18"/>
              </w:rPr>
              <w:t>Search Engine Optimization (SEO)</w:t>
            </w:r>
          </w:p>
        </w:tc>
        <w:tc>
          <w:tcPr>
            <w:tcW w:type="dxa" w:w="2880"/>
            <w:shd w:val="clear" w:color="auto" w:fill="F9F8F6"/>
            <w:tcMar>
              <w:top w:w="120" w:type="dxa"/>
              <w:bottom w:w="120" w:type="dxa"/>
              <w:left w:w="160" w:type="dxa"/>
              <w:right w:w="160" w:type="dxa"/>
            </w:tcMar>
          </w:tcPr>
          <w:p>
            <w:pPr>
              <w:spacing w:before="0" w:after="0"/>
              <w:jc w:val="left"/>
            </w:pPr>
            <w:r>
              <w:rPr>
                <w:rFonts w:ascii="Calibri" w:hAnsi="Calibri"/>
                <w:color w:val="333333"/>
                <w:sz w:val="18"/>
              </w:rPr>
              <w:t>Schema.org RealEstateListing</w:t>
            </w:r>
          </w:p>
        </w:tc>
        <w:tc>
          <w:tcPr>
            <w:tcW w:type="dxa" w:w="3888"/>
            <w:shd w:val="clear" w:color="auto" w:fill="F9F8F6"/>
            <w:tcMar>
              <w:top w:w="120" w:type="dxa"/>
              <w:bottom w:w="120" w:type="dxa"/>
              <w:left w:w="160" w:type="dxa"/>
              <w:right w:w="160" w:type="dxa"/>
            </w:tcMar>
          </w:tcPr>
          <w:p>
            <w:pPr>
              <w:spacing w:before="0" w:after="0"/>
              <w:jc w:val="left"/>
            </w:pPr>
            <w:r>
              <w:rPr>
                <w:rFonts w:ascii="Calibri" w:hAnsi="Calibri"/>
                <w:color w:val="333333"/>
                <w:sz w:val="18"/>
              </w:rPr>
              <w:t>PASS — Canonical tags, Open Graph meta tags, preconnect fonts, and valid JSON-LD including phone and email.</w:t>
            </w:r>
          </w:p>
        </w:tc>
      </w:tr>
      <w:tr>
        <w:tc>
          <w:tcPr>
            <w:tcW w:type="dxa" w:w="2592"/>
            <w:shd w:val="clear" w:color="auto" w:fill="FFFFFF"/>
            <w:tcMar>
              <w:top w:w="120" w:type="dxa"/>
              <w:bottom w:w="120" w:type="dxa"/>
              <w:left w:w="160" w:type="dxa"/>
              <w:right w:w="160" w:type="dxa"/>
            </w:tcMar>
          </w:tcPr>
          <w:p>
            <w:pPr>
              <w:spacing w:before="0" w:after="0"/>
              <w:jc w:val="left"/>
            </w:pPr>
            <w:r>
              <w:rPr>
                <w:rFonts w:ascii="Calibri" w:hAnsi="Calibri"/>
                <w:b/>
                <w:color w:val="333333"/>
                <w:sz w:val="18"/>
              </w:rPr>
              <w:t>Credential Protection</w:t>
            </w:r>
          </w:p>
        </w:tc>
        <w:tc>
          <w:tcPr>
            <w:tcW w:type="dxa" w:w="2880"/>
            <w:shd w:val="clear" w:color="auto" w:fill="FFFFFF"/>
            <w:tcMar>
              <w:top w:w="120" w:type="dxa"/>
              <w:bottom w:w="120" w:type="dxa"/>
              <w:left w:w="160" w:type="dxa"/>
              <w:right w:w="160" w:type="dxa"/>
            </w:tcMar>
          </w:tcPr>
          <w:p>
            <w:pPr>
              <w:spacing w:before="0" w:after="0"/>
              <w:jc w:val="left"/>
            </w:pPr>
            <w:r>
              <w:rPr>
                <w:rFonts w:ascii="Calibri" w:hAnsi="Calibri"/>
                <w:color w:val="333333"/>
                <w:sz w:val="18"/>
              </w:rPr>
              <w:t>.gitignore audit</w:t>
            </w:r>
          </w:p>
        </w:tc>
        <w:tc>
          <w:tcPr>
            <w:tcW w:type="dxa" w:w="3888"/>
            <w:shd w:val="clear" w:color="auto" w:fill="FFFFFF"/>
            <w:tcMar>
              <w:top w:w="120" w:type="dxa"/>
              <w:bottom w:w="120" w:type="dxa"/>
              <w:left w:w="160" w:type="dxa"/>
              <w:right w:w="160" w:type="dxa"/>
            </w:tcMar>
          </w:tcPr>
          <w:p>
            <w:pPr>
              <w:spacing w:before="0" w:after="0"/>
              <w:jc w:val="left"/>
            </w:pPr>
            <w:r>
              <w:rPr>
                <w:rFonts w:ascii="Calibri" w:hAnsi="Calibri"/>
                <w:color w:val="333333"/>
                <w:sz w:val="18"/>
              </w:rPr>
              <w:t>PASS — .env and .env.* are strictly ignored to prevent credential leakage to GitHub repositories.</w:t>
            </w:r>
          </w:p>
        </w:tc>
      </w:tr>
    </w:tbl>
    <w:p>
      <w:pPr>
        <w:spacing w:after="240"/>
      </w:pPr>
    </w:p>
    <w:p>
      <w:pPr>
        <w:pStyle w:val="Heading1"/>
        <w:spacing w:before="320" w:after="120"/>
      </w:pPr>
      <w:r>
        <w:rPr>
          <w:rFonts w:ascii="Georgia" w:hAnsi="Georgia"/>
          <w:color w:val="141412"/>
          <w:sz w:val="34"/>
        </w:rPr>
        <w:t>7. Operational Guide: Development, Testing &amp; Production</w:t>
      </w:r>
    </w:p>
    <w:p>
      <w:r>
        <w:t>Below are exact command instructions for running, testing, and deploying the application across various staging and production environments:</w:t>
      </w:r>
    </w:p>
    <w:p>
      <w:pPr>
        <w:pStyle w:val="Heading2"/>
      </w:pPr>
      <w:r>
        <w:t>1. Local Development Environment</w:t>
      </w:r>
    </w:p>
    <w:p>
      <w:r>
        <w:t>Run the development server with Vite and live email API middleware:</w:t>
        <w:br/>
        <w:t xml:space="preserve">   $ cd LandingPage</w:t>
        <w:br/>
        <w:t xml:space="preserve">   $ npm install</w:t>
        <w:br/>
        <w:t xml:space="preserve">   $ npm run dev</w:t>
        <w:br/>
        <w:t>• Local URL: http://localhost:5173</w:t>
        <w:br/>
        <w:t>• The `/api/send-email` endpoint is active and will transmit real leads directly via Gmail SMTP.</w:t>
      </w:r>
    </w:p>
    <w:p>
      <w:pPr>
        <w:pStyle w:val="Heading2"/>
      </w:pPr>
      <w:r>
        <w:t>2. Production Build &amp; Standalone Node Server</w:t>
      </w:r>
    </w:p>
    <w:p>
      <w:r>
        <w:t>Compile optimized client assets and start the standalone production HTTP + SMTP server:</w:t>
        <w:br/>
        <w:t xml:space="preserve">   $ npm run build</w:t>
        <w:br/>
        <w:t xml:space="preserve">   $ npm start</w:t>
        <w:br/>
        <w:t>• Server starts at: http://localhost:5180 (configurable via PORT environment variable in `.env`).</w:t>
        <w:br/>
        <w:t>• Serves compiled static assets from `dist/` with high-performance caching headers.</w:t>
      </w:r>
    </w:p>
    <w:p>
      <w:pPr>
        <w:pStyle w:val="Heading2"/>
      </w:pPr>
      <w:r>
        <w:t>3. Cloud Deployment Recommendations</w:t>
      </w:r>
    </w:p>
    <w:p>
      <w:r>
        <w:t>• Node.js Platform (Render / Railway / Heroku / AWS EC2):</w:t>
        <w:br/>
        <w:t xml:space="preserve">  Set Build Command: `npm install &amp;&amp; npm run build`</w:t>
        <w:br/>
        <w:t xml:space="preserve">  Set Start Command: `node server.cjs`</w:t>
        <w:br/>
        <w:t xml:space="preserve">  Configure Environment Variables: `SMTP_USER`, `SMTP_PASS`, `NOTIFICATION_EMAIL`, `PORT`.</w:t>
        <w:br/>
        <w:br/>
        <w:t>• Serverless / Static CDN (Vercel / Netlify):</w:t>
        <w:br/>
        <w:t xml:space="preserve">  Deploy the `dist/` folder. The client-side form automatically falls back to `mailto:` and WhatsApp if the backend API is not present,   or you can create a simple serverless function under `/api/send-email`.</w:t>
      </w:r>
    </w:p>
    <w:p>
      <w:pPr>
        <w:pStyle w:val="Heading1"/>
        <w:spacing w:before="320" w:after="120"/>
      </w:pPr>
      <w:r>
        <w:rPr>
          <w:rFonts w:ascii="Georgia" w:hAnsi="Georgia"/>
          <w:color w:val="141412"/>
          <w:sz w:val="34"/>
        </w:rPr>
        <w:t>8. Strategic Roadmap &amp; Next-Level Enhancements</w:t>
      </w:r>
    </w:p>
    <w:p>
      <w:r>
        <w:t>To further elevate the sales velocity and technological leadership of Jayabheri The Pinnacle, the following high-impact initiatives are recommended:</w:t>
      </w:r>
    </w:p>
    <w:p>
      <w:r>
        <w:rPr>
          <w:b/>
          <w:color w:val="9A7B4F"/>
        </w:rPr>
        <w:t xml:space="preserve">• CRM Two-Way Webhook Integration: </w:t>
      </w:r>
      <w:r>
        <w:t>Connect lead submission events directly to Salesforce, HubSpot, or LeadSquared CRM, triggering instant SMS notifications to on-duty sales managers.</w:t>
      </w:r>
    </w:p>
    <w:p>
      <w:r>
        <w:rPr>
          <w:b/>
          <w:color w:val="9A7B4F"/>
        </w:rPr>
        <w:t xml:space="preserve">• Interactive 3D Sky Villa Walkthrough: </w:t>
      </w:r>
      <w:r>
        <w:t>Embed a Three.js / WebGL virtual floor tour allowing prospective buyers to explore tower orientation, sunset angles, and balcony vistas at 500 feet above ground level.</w:t>
      </w:r>
    </w:p>
    <w:p>
      <w:r>
        <w:rPr>
          <w:b/>
          <w:color w:val="9A7B4F"/>
        </w:rPr>
        <w:t xml:space="preserve">• Multi-Currency &amp; International Dialing: </w:t>
      </w:r>
      <w:r>
        <w:t>Detect overseas IP addresses (e.g. Dubai, London, New York) and dynamically format telephone numbers and price estimates in USD ($), AED (AED), and GBP (£).</w:t>
      </w:r>
    </w:p>
    <w:p>
      <w:r>
        <w:rPr>
          <w:b/>
          <w:color w:val="9A7B4F"/>
        </w:rPr>
        <w:t xml:space="preserve">• SMS &amp; WhatsApp OTP Verification: </w:t>
      </w:r>
      <w:r>
        <w:t>Implement lightweight phone number verification to filter high-intent qualified buyers before scheduling private on-site helicopter or luxury car transfers.</w:t>
      </w:r>
    </w:p>
    <w:p>
      <w:pPr>
        <w:spacing w:after="400"/>
      </w:pPr>
    </w:p>
    <w:p>
      <w:pPr>
        <w:spacing w:before="400" w:after="80"/>
      </w:pPr>
      <w:r>
        <w:rPr>
          <w:rFonts w:ascii="Georgia" w:hAnsi="Georgia"/>
          <w:b/>
          <w:color w:val="9A7B4F"/>
          <w:sz w:val="20"/>
        </w:rPr>
        <w:t>REPORT PREPARED &amp; CERTIFIED FOR JAYABHERI THE PINNACLE</w:t>
        <w:br/>
      </w:r>
      <w:r>
        <w:rPr>
          <w:rFonts w:ascii="Calibri" w:hAnsi="Calibri"/>
          <w:color w:val="777777"/>
          <w:sz w:val="19"/>
        </w:rPr>
        <w:t>Engineering &amp; Architecture Review Board · Status: Approved for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