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4" w:firstLine="0"/>
        <w:jc w:val="center"/>
        <w:rPr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3896248" cy="8896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48" cy="88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color w:val="17365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lgerian" w:cs="Algerian" w:eastAsia="Algerian" w:hAnsi="Algerian"/>
          <w:color w:val="17365d"/>
          <w:sz w:val="16"/>
          <w:szCs w:val="16"/>
        </w:rPr>
      </w:pPr>
      <w:r w:rsidDel="00000000" w:rsidR="00000000" w:rsidRPr="00000000">
        <w:rPr>
          <w:rFonts w:ascii="Algerian" w:cs="Algerian" w:eastAsia="Algerian" w:hAnsi="Algerian"/>
          <w:color w:val="17365d"/>
          <w:sz w:val="16"/>
          <w:szCs w:val="16"/>
          <w:rtl w:val="0"/>
        </w:rPr>
        <w:t xml:space="preserve">ACADEMIE REGIONALE D’EDUCATION ET DE FORMATION TANGER-TETOUAN-alhoceima</w:t>
      </w:r>
    </w:p>
    <w:p w:rsidR="00000000" w:rsidDel="00000000" w:rsidP="00000000" w:rsidRDefault="00000000" w:rsidRPr="00000000" w14:paraId="00000005">
      <w:pPr>
        <w:jc w:val="center"/>
        <w:rPr>
          <w:rFonts w:ascii="Algerian" w:cs="Algerian" w:eastAsia="Algerian" w:hAnsi="Algerian"/>
          <w:color w:val="17365d"/>
          <w:sz w:val="16"/>
          <w:szCs w:val="16"/>
        </w:rPr>
      </w:pPr>
      <w:r w:rsidDel="00000000" w:rsidR="00000000" w:rsidRPr="00000000">
        <w:rPr>
          <w:rFonts w:ascii="Algerian" w:cs="Algerian" w:eastAsia="Algerian" w:hAnsi="Algerian"/>
          <w:color w:val="17365d"/>
          <w:sz w:val="16"/>
          <w:szCs w:val="16"/>
          <w:rtl w:val="0"/>
        </w:rPr>
        <w:t xml:space="preserve">Direction provinciale de  m’DIQ-FNIDEQ</w:t>
      </w:r>
    </w:p>
    <w:p w:rsidR="00000000" w:rsidDel="00000000" w:rsidP="00000000" w:rsidRDefault="00000000" w:rsidRPr="00000000" w14:paraId="00000006">
      <w:pPr>
        <w:tabs>
          <w:tab w:val="left" w:pos="3315"/>
        </w:tabs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Fonts w:ascii="Calligraphic" w:cs="Calligraphic" w:eastAsia="Calligraphic" w:hAnsi="Calligraphic"/>
          <w:b w:val="1"/>
          <w:sz w:val="24"/>
          <w:szCs w:val="24"/>
          <w:u w:val="single"/>
          <w:rtl w:val="0"/>
        </w:rPr>
        <w:t xml:space="preserve">PROCES VERBAL</w:t>
      </w:r>
    </w:p>
    <w:p w:rsidR="00000000" w:rsidDel="00000000" w:rsidP="00000000" w:rsidRDefault="00000000" w:rsidRPr="00000000" w14:paraId="00000008">
      <w:pPr>
        <w:jc w:val="center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Fonts w:ascii="Calligraphic" w:cs="Calligraphic" w:eastAsia="Calligraphic" w:hAnsi="Calligraphic"/>
          <w:b w:val="1"/>
          <w:sz w:val="24"/>
          <w:szCs w:val="24"/>
          <w:u w:val="single"/>
          <w:rtl w:val="0"/>
        </w:rPr>
        <w:t xml:space="preserve">D’APPEL D’OFFRES OUVERT</w:t>
      </w:r>
    </w:p>
    <w:p w:rsidR="00000000" w:rsidDel="00000000" w:rsidP="00000000" w:rsidRDefault="00000000" w:rsidRPr="00000000" w14:paraId="00000009">
      <w:pPr>
        <w:jc w:val="center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Fonts w:ascii="Calligraphic" w:cs="Calligraphic" w:eastAsia="Calligraphic" w:hAnsi="Calligraphic"/>
          <w:b w:val="1"/>
          <w:sz w:val="24"/>
          <w:szCs w:val="24"/>
          <w:u w:val="single"/>
          <w:rtl w:val="0"/>
        </w:rPr>
        <w:t xml:space="preserve">N° 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ligraphic" w:cs="Calligraphic" w:eastAsia="Calligraphic" w:hAnsi="Calligraphic"/>
          <w:b w:val="1"/>
          <w:sz w:val="24"/>
          <w:szCs w:val="24"/>
          <w:u w:val="single"/>
          <w:rtl w:val="0"/>
        </w:rPr>
        <w:t xml:space="preserve">N°${num_offre} (séance n°1)</w:t>
      </w:r>
    </w:p>
    <w:p w:rsidR="00000000" w:rsidDel="00000000" w:rsidP="00000000" w:rsidRDefault="00000000" w:rsidRPr="00000000" w14:paraId="0000000A">
      <w:pPr>
        <w:jc w:val="center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date_ouverture</w:t>
      </w:r>
      <w:r w:rsidDel="00000000" w:rsidR="00000000" w:rsidRPr="00000000">
        <w:rPr>
          <w:sz w:val="24"/>
          <w:szCs w:val="24"/>
          <w:rtl w:val="0"/>
        </w:rPr>
        <w:t xml:space="preserve">} à ${heure}, la commission d’appel d’offres, conformément à la décision du sous ordonnateur de la direction provinciale de MDIQ-FNIDEQ, n° ${num_avis} est composée comme suit :</w:t>
      </w:r>
    </w:p>
    <w:p w:rsidR="00000000" w:rsidDel="00000000" w:rsidP="00000000" w:rsidRDefault="00000000" w:rsidRPr="00000000" w14:paraId="0000000C">
      <w:pPr>
        <w:spacing w:after="120" w:before="120" w:lineRule="auto"/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block_juries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tbl>
      <w:tblPr>
        <w:tblStyle w:val="Table1"/>
        <w:tblW w:w="105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3"/>
        <w:gridCol w:w="6290"/>
        <w:gridCol w:w="1134"/>
        <w:tblGridChange w:id="0">
          <w:tblGrid>
            <w:gridCol w:w="3173"/>
            <w:gridCol w:w="6290"/>
            <w:gridCol w:w="1134"/>
          </w:tblGrid>
        </w:tblGridChange>
      </w:tblGrid>
      <w:tr>
        <w:trPr>
          <w:cantSplit w:val="0"/>
          <w:trHeight w:val="6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${0} ${1}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${2}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${3}</w:t>
            </w:r>
          </w:p>
        </w:tc>
      </w:tr>
    </w:tbl>
    <w:p w:rsidR="00000000" w:rsidDel="00000000" w:rsidP="00000000" w:rsidRDefault="00000000" w:rsidRPr="00000000" w14:paraId="00000011">
      <w:pPr>
        <w:spacing w:after="120" w:before="120" w:lineRule="auto"/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block_juries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firstLine="709"/>
        <w:rPr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La commission s’est réunie en séance publique dans la salle de réunion de la direction provinciale  du MENPERS de M’diq-Fnideq, en vue de procéder à l’ouverture des plis concernant l’appel d’offres ouvert   N° : </w:t>
      </w:r>
      <w:r w:rsidDel="00000000" w:rsidR="00000000" w:rsidRPr="00000000">
        <w:rPr>
          <w:b w:val="1"/>
          <w:sz w:val="24"/>
          <w:szCs w:val="24"/>
          <w:rtl w:val="0"/>
        </w:rPr>
        <w:t xml:space="preserve">${num_offre}</w:t>
      </w:r>
      <w:r w:rsidDel="00000000" w:rsidR="00000000" w:rsidRPr="00000000">
        <w:rPr>
          <w:sz w:val="24"/>
          <w:szCs w:val="24"/>
          <w:rtl w:val="0"/>
        </w:rPr>
        <w:t xml:space="preserve"> relatif </w:t>
      </w:r>
      <w:r w:rsidDel="00000000" w:rsidR="00000000" w:rsidRPr="00000000">
        <w:rPr>
          <w:sz w:val="22"/>
          <w:szCs w:val="22"/>
          <w:rtl w:val="0"/>
        </w:rPr>
        <w:t xml:space="preserve">aux </w:t>
      </w:r>
      <w:r w:rsidDel="00000000" w:rsidR="00000000" w:rsidRPr="00000000">
        <w:rPr>
          <w:b w:val="1"/>
          <w:sz w:val="24"/>
          <w:szCs w:val="24"/>
          <w:rtl w:val="0"/>
        </w:rPr>
        <w:t xml:space="preserve">${objet}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Conformément à l’avis d’appel d’offres publié dans :</w:t>
      </w:r>
    </w:p>
    <w:p w:rsidR="00000000" w:rsidDel="00000000" w:rsidP="00000000" w:rsidRDefault="00000000" w:rsidRPr="00000000" w14:paraId="00000014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blockk_journaux_matin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120" w:before="120" w:lineRule="auto"/>
        <w:ind w:right="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Le Matin                 :  N°  ${1}  </w:t>
      </w:r>
      <w:r w:rsidDel="00000000" w:rsidR="00000000" w:rsidRPr="00000000">
        <w:rPr>
          <w:sz w:val="24"/>
          <w:szCs w:val="24"/>
          <w:rtl w:val="0"/>
        </w:rPr>
        <w:t xml:space="preserve">du</w:t>
      </w:r>
      <w:r w:rsidDel="00000000" w:rsidR="00000000" w:rsidRPr="00000000">
        <w:rPr>
          <w:b w:val="1"/>
          <w:sz w:val="24"/>
          <w:szCs w:val="24"/>
          <w:rtl w:val="0"/>
        </w:rPr>
        <w:t xml:space="preserve">  ${2}     -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${0};</w:t>
      </w:r>
    </w:p>
    <w:p w:rsidR="00000000" w:rsidDel="00000000" w:rsidP="00000000" w:rsidRDefault="00000000" w:rsidRPr="00000000" w14:paraId="0000001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blockk_journaux_matin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blockk_journaux_sahara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20" w:before="120" w:lineRule="auto"/>
        <w:ind w:right="11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الصحراء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المغربية</w:t>
      </w:r>
      <w:r w:rsidDel="00000000" w:rsidR="00000000" w:rsidRPr="00000000">
        <w:rPr>
          <w:b w:val="1"/>
          <w:sz w:val="24"/>
          <w:szCs w:val="24"/>
          <w:rtl w:val="0"/>
        </w:rPr>
        <w:t xml:space="preserve">         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°  ${1}  </w:t>
      </w:r>
      <w:r w:rsidDel="00000000" w:rsidR="00000000" w:rsidRPr="00000000">
        <w:rPr>
          <w:sz w:val="24"/>
          <w:szCs w:val="24"/>
          <w:rtl w:val="0"/>
        </w:rPr>
        <w:t xml:space="preserve">du</w:t>
      </w:r>
      <w:r w:rsidDel="00000000" w:rsidR="00000000" w:rsidRPr="00000000">
        <w:rPr>
          <w:b w:val="1"/>
          <w:sz w:val="24"/>
          <w:szCs w:val="24"/>
          <w:rtl w:val="0"/>
        </w:rPr>
        <w:t xml:space="preserve">  ${2}     -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${0};</w:t>
      </w:r>
    </w:p>
    <w:p w:rsidR="00000000" w:rsidDel="00000000" w:rsidP="00000000" w:rsidRDefault="00000000" w:rsidRPr="00000000" w14:paraId="00000019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blockk_journaux_sahara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l’avis rectificatif publié dans :</w:t>
      </w:r>
    </w:p>
    <w:p w:rsidR="00000000" w:rsidDel="00000000" w:rsidP="00000000" w:rsidRDefault="00000000" w:rsidRPr="00000000" w14:paraId="0000001C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blockk_journaux_matin_r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20" w:before="120" w:lineRule="auto"/>
        <w:ind w:right="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Le Matin                 :  N°  ${1}  </w:t>
      </w:r>
      <w:r w:rsidDel="00000000" w:rsidR="00000000" w:rsidRPr="00000000">
        <w:rPr>
          <w:sz w:val="24"/>
          <w:szCs w:val="24"/>
          <w:rtl w:val="0"/>
        </w:rPr>
        <w:t xml:space="preserve">du</w:t>
      </w:r>
      <w:r w:rsidDel="00000000" w:rsidR="00000000" w:rsidRPr="00000000">
        <w:rPr>
          <w:b w:val="1"/>
          <w:sz w:val="24"/>
          <w:szCs w:val="24"/>
          <w:rtl w:val="0"/>
        </w:rPr>
        <w:t xml:space="preserve">  ${2}     -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${0};</w:t>
      </w:r>
    </w:p>
    <w:p w:rsidR="00000000" w:rsidDel="00000000" w:rsidP="00000000" w:rsidRDefault="00000000" w:rsidRPr="00000000" w14:paraId="0000001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blockk_journaux_matin_r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blockk_journaux_sahara_r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20" w:before="120" w:lineRule="auto"/>
        <w:ind w:right="11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الصحراء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المغربية</w:t>
      </w:r>
      <w:r w:rsidDel="00000000" w:rsidR="00000000" w:rsidRPr="00000000">
        <w:rPr>
          <w:b w:val="1"/>
          <w:sz w:val="24"/>
          <w:szCs w:val="24"/>
          <w:rtl w:val="0"/>
        </w:rPr>
        <w:t xml:space="preserve">         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°  ${1}  </w:t>
      </w:r>
      <w:r w:rsidDel="00000000" w:rsidR="00000000" w:rsidRPr="00000000">
        <w:rPr>
          <w:sz w:val="24"/>
          <w:szCs w:val="24"/>
          <w:rtl w:val="0"/>
        </w:rPr>
        <w:t xml:space="preserve">du</w:t>
      </w:r>
      <w:r w:rsidDel="00000000" w:rsidR="00000000" w:rsidRPr="00000000">
        <w:rPr>
          <w:b w:val="1"/>
          <w:sz w:val="24"/>
          <w:szCs w:val="24"/>
          <w:rtl w:val="0"/>
        </w:rPr>
        <w:t xml:space="preserve">  ${2}     - </w:t>
      </w:r>
      <w:r w:rsidDel="00000000" w:rsidR="00000000" w:rsidRPr="00000000">
        <w:rPr>
          <w:sz w:val="24"/>
          <w:szCs w:val="24"/>
          <w:rtl w:val="0"/>
        </w:rPr>
        <w:t xml:space="preserve">page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${0};</w:t>
      </w:r>
    </w:p>
    <w:p w:rsidR="00000000" w:rsidDel="00000000" w:rsidP="00000000" w:rsidRDefault="00000000" w:rsidRPr="00000000" w14:paraId="00000021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blockk_journaux_sahara_r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120" w:before="120" w:lineRule="auto"/>
        <w:ind w:right="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portail des marchés publics de l’État </w:t>
      </w:r>
      <w:r w:rsidDel="00000000" w:rsidR="00000000" w:rsidRPr="00000000">
        <w:rPr>
          <w:b w:val="1"/>
          <w:sz w:val="22"/>
          <w:szCs w:val="22"/>
          <w:rtl w:val="0"/>
        </w:rPr>
        <w:t xml:space="preserve">:  </w:t>
      </w:r>
      <w:hyperlink r:id="rId7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www.marchespublics.gov.ma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date du :  18/10/2021 et du 28/10/2021.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ind w:right="11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l’ouverture de la séance, le président dépose sur le bureau tous les plis reçus, à savoir :</w:t>
      </w:r>
    </w:p>
    <w:tbl>
      <w:tblPr>
        <w:tblStyle w:val="Table2"/>
        <w:tblW w:w="10221.0" w:type="dxa"/>
        <w:jc w:val="left"/>
        <w:tblInd w:w="55.0" w:type="dxa"/>
        <w:tblLayout w:type="fixed"/>
        <w:tblLook w:val="0400"/>
      </w:tblPr>
      <w:tblGrid>
        <w:gridCol w:w="1200"/>
        <w:gridCol w:w="9021"/>
        <w:tblGridChange w:id="0">
          <w:tblGrid>
            <w:gridCol w:w="1200"/>
            <w:gridCol w:w="902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Liste des concurrents ayant déposé leurs dossiers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dossier_concurr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3"/>
        <w:tblW w:w="10221.0" w:type="dxa"/>
        <w:jc w:val="left"/>
        <w:tblInd w:w="55.0" w:type="dxa"/>
        <w:tblLayout w:type="fixed"/>
        <w:tblLook w:val="0400"/>
      </w:tblPr>
      <w:tblGrid>
        <w:gridCol w:w="1200"/>
        <w:gridCol w:w="9021"/>
        <w:tblGridChange w:id="0">
          <w:tblGrid>
            <w:gridCol w:w="1200"/>
            <w:gridCol w:w="902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${0}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dossier_concurr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113" w:right="113"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numere ensuite les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sociétés</w:t>
      </w:r>
      <w:r w:rsidDel="00000000" w:rsidR="00000000" w:rsidRPr="00000000">
        <w:rPr>
          <w:sz w:val="24"/>
          <w:szCs w:val="24"/>
          <w:rtl w:val="0"/>
        </w:rPr>
        <w:t xml:space="preserve"> qui ont soumissionn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 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ctroniquement aprés téléchargement de leurs dossiers administratifs et techniques, à savoir:</w:t>
      </w:r>
    </w:p>
    <w:p w:rsidR="00000000" w:rsidDel="00000000" w:rsidP="00000000" w:rsidRDefault="00000000" w:rsidRPr="00000000" w14:paraId="0000002E">
      <w:pPr>
        <w:ind w:left="113" w:right="113"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portail_concurr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tbl>
      <w:tblPr>
        <w:tblStyle w:val="Table4"/>
        <w:tblW w:w="10221.0" w:type="dxa"/>
        <w:jc w:val="left"/>
        <w:tblInd w:w="55.0" w:type="dxa"/>
        <w:tblLayout w:type="fixed"/>
        <w:tblLook w:val="0400"/>
      </w:tblPr>
      <w:tblGrid>
        <w:gridCol w:w="1200"/>
        <w:gridCol w:w="9021"/>
        <w:tblGridChange w:id="0">
          <w:tblGrid>
            <w:gridCol w:w="1200"/>
            <w:gridCol w:w="902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${0}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portail_concurr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invite ensuite les concurrents présents qui n’auraient pas déposé leurs plis,  à les lui remettre séance tenante :</w:t>
      </w:r>
    </w:p>
    <w:p w:rsidR="00000000" w:rsidDel="00000000" w:rsidP="00000000" w:rsidRDefault="00000000" w:rsidRPr="00000000" w14:paraId="00000034">
      <w:pPr>
        <w:ind w:right="113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Ont répondu à cette invitation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113" w:firstLine="70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Aucun concurrent  n’a répondu à cette invitation.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20" w:lineRule="auto"/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invite les concurrents qui se sont aperçus que leurs dossiers sont incomplets à produire les pièces manquantes sous enveloppes fermées.</w:t>
      </w:r>
    </w:p>
    <w:p w:rsidR="00000000" w:rsidDel="00000000" w:rsidP="00000000" w:rsidRDefault="00000000" w:rsidRPr="00000000" w14:paraId="00000037">
      <w:pPr>
        <w:spacing w:before="120" w:lineRule="auto"/>
        <w:ind w:right="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Ont répondu à cette invitation 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09" w:right="113" w:firstLine="709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Aucun concurrent  n’a répondu à cette invitation.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 président arrête, alors définitivement la liste des plis reçus ou  déposés, comme suit :</w:t>
      </w:r>
    </w:p>
    <w:p w:rsidR="00000000" w:rsidDel="00000000" w:rsidP="00000000" w:rsidRDefault="00000000" w:rsidRPr="00000000" w14:paraId="0000003A">
      <w:pPr>
        <w:ind w:right="113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1.0" w:type="dxa"/>
        <w:jc w:val="left"/>
        <w:tblInd w:w="55.0" w:type="dxa"/>
        <w:tblLayout w:type="fixed"/>
        <w:tblLook w:val="0400"/>
      </w:tblPr>
      <w:tblGrid>
        <w:gridCol w:w="1200"/>
        <w:gridCol w:w="9021"/>
        <w:tblGridChange w:id="0">
          <w:tblGrid>
            <w:gridCol w:w="1200"/>
            <w:gridCol w:w="9021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Liste des concurrents ayant déposé leurs dossiers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all_concurrant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6"/>
        <w:tblW w:w="10221.0" w:type="dxa"/>
        <w:jc w:val="left"/>
        <w:tblInd w:w="55.0" w:type="dxa"/>
        <w:tblLayout w:type="fixed"/>
        <w:tblLook w:val="0400"/>
      </w:tblPr>
      <w:tblGrid>
        <w:gridCol w:w="1200"/>
        <w:gridCol w:w="9021"/>
        <w:tblGridChange w:id="0">
          <w:tblGrid>
            <w:gridCol w:w="1200"/>
            <w:gridCol w:w="902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${0}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120" w:lineRule="auto"/>
        <w:ind w:right="113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all_concurrant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before="120" w:lineRule="auto"/>
        <w:ind w:right="113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s’assure de la présence des membres dont la présence est obligatoire.</w:t>
      </w:r>
    </w:p>
    <w:p w:rsidR="00000000" w:rsidDel="00000000" w:rsidP="00000000" w:rsidRDefault="00000000" w:rsidRPr="00000000" w14:paraId="00000042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 remet le support écrit contenant l’estimation du coût détaillés des prestations objet de l’appel d’offres dont le montant est fixé à :</w:t>
      </w:r>
    </w:p>
    <w:p w:rsidR="00000000" w:rsidDel="00000000" w:rsidP="00000000" w:rsidRDefault="00000000" w:rsidRPr="00000000" w14:paraId="0000004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21.0" w:type="dxa"/>
        <w:jc w:val="left"/>
        <w:tblInd w:w="55.0" w:type="dxa"/>
        <w:tblLayout w:type="fixed"/>
        <w:tblLook w:val="0400"/>
      </w:tblPr>
      <w:tblGrid>
        <w:gridCol w:w="10221"/>
        <w:tblGridChange w:id="0">
          <w:tblGrid>
            <w:gridCol w:w="1022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L’estimation des coûts des prestations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${estimation}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DH TTC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before="120" w:lineRule="auto"/>
        <w:ind w:right="113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0" w:lineRule="auto"/>
        <w:ind w:right="113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membres de la commission paraphent les supports de l’estimation des coûts des prestations.</w:t>
      </w:r>
    </w:p>
    <w:p w:rsidR="00000000" w:rsidDel="00000000" w:rsidP="00000000" w:rsidRDefault="00000000" w:rsidRPr="00000000" w14:paraId="0000004A">
      <w:pPr>
        <w:spacing w:before="120" w:lineRule="auto"/>
        <w:ind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de la commission  annonce, à haute voix, les journaux, les références de publication au portail des marchés publics.</w:t>
      </w:r>
    </w:p>
    <w:p w:rsidR="00000000" w:rsidDel="00000000" w:rsidP="00000000" w:rsidRDefault="00000000" w:rsidRPr="00000000" w14:paraId="0000004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 président demande aux membres de formuler leurs réserves ou  observations sur les vices éventuels qui entachent la procédure.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Réponse :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Néant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0" w:lineRule="auto"/>
        <w:ind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ouvre les enveloppes extérieures des plis contenant les dossiers des concurrents, cite dans chacun d’eux la présence des enveloppes exigées. Il ouvre ensuite l’enveloppe portant la mention   « dossiers administratif et technique », donne lecture et dresse un état des pièces fournies par chaque concurrent. </w:t>
      </w:r>
    </w:p>
    <w:p w:rsidR="00000000" w:rsidDel="00000000" w:rsidP="00000000" w:rsidRDefault="00000000" w:rsidRPr="00000000" w14:paraId="0000004D">
      <w:pPr>
        <w:spacing w:before="120" w:lineRule="auto"/>
        <w:ind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formalité accomplie, la séance publique est suspendue, les concurrents et le public se retirent de la salle.</w:t>
      </w:r>
    </w:p>
    <w:p w:rsidR="00000000" w:rsidDel="00000000" w:rsidP="00000000" w:rsidRDefault="00000000" w:rsidRPr="00000000" w14:paraId="0000004E">
      <w:pPr>
        <w:spacing w:before="120" w:lineRule="auto"/>
        <w:ind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Ensuite, la commission se réunit à huis clos pour examiner les dossiers administratifs, et techniques des concurrents, elle écarte les concurrents ci-après pour les motifs suivants :</w:t>
      </w:r>
    </w:p>
    <w:p w:rsidR="00000000" w:rsidDel="00000000" w:rsidP="00000000" w:rsidRDefault="00000000" w:rsidRPr="00000000" w14:paraId="0000004F">
      <w:pPr>
        <w:spacing w:before="120" w:lineRule="auto"/>
        <w:ind w:right="113"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55.0" w:type="dxa"/>
        <w:tblLayout w:type="fixed"/>
        <w:tblLook w:val="0400"/>
      </w:tblPr>
      <w:tblGrid>
        <w:gridCol w:w="4410"/>
        <w:gridCol w:w="5670"/>
        <w:tblGridChange w:id="0">
          <w:tblGrid>
            <w:gridCol w:w="4410"/>
            <w:gridCol w:w="56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Les concurrents éliminés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Motifs d'écartement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eliminer_concurrant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55.0" w:type="dxa"/>
        <w:tblLayout w:type="fixed"/>
        <w:tblLook w:val="0400"/>
      </w:tblPr>
      <w:tblGrid>
        <w:gridCol w:w="4410"/>
        <w:gridCol w:w="5670"/>
        <w:tblGridChange w:id="0">
          <w:tblGrid>
            <w:gridCol w:w="4410"/>
            <w:gridCol w:w="5670"/>
          </w:tblGrid>
        </w:tblGridChange>
      </w:tblGrid>
      <w:tr>
        <w:trPr>
          <w:cantSplit w:val="0"/>
          <w:trHeight w:val="488.9355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${1}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${2}</w:t>
            </w:r>
          </w:p>
        </w:tc>
      </w:tr>
    </w:tbl>
    <w:p w:rsidR="00000000" w:rsidDel="00000000" w:rsidP="00000000" w:rsidRDefault="00000000" w:rsidRPr="00000000" w14:paraId="00000056">
      <w:pPr>
        <w:spacing w:after="120" w:before="120" w:lineRule="auto"/>
        <w:ind w:left="113" w:right="113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eliminer_concurrant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120" w:before="120" w:lineRule="auto"/>
        <w:ind w:left="113" w:right="113" w:firstLine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Rule="auto"/>
        <w:ind w:left="113" w:right="113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commission arrête en suite la liste des concurrents admissibles en précisant ceux dont les dossiers comportent des erreurs matérielles, ou des discordances à rectifier, à savoir :</w:t>
      </w:r>
    </w:p>
    <w:p w:rsidR="00000000" w:rsidDel="00000000" w:rsidP="00000000" w:rsidRDefault="00000000" w:rsidRPr="00000000" w14:paraId="00000059">
      <w:pPr>
        <w:spacing w:after="120" w:before="120" w:lineRule="auto"/>
        <w:ind w:left="113" w:right="113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Liste des concurrents admissibles sans réserves :</w:t>
      </w:r>
    </w:p>
    <w:p w:rsidR="00000000" w:rsidDel="00000000" w:rsidP="00000000" w:rsidRDefault="00000000" w:rsidRPr="00000000" w14:paraId="0000005A">
      <w:pPr>
        <w:spacing w:after="120" w:before="120" w:lineRule="auto"/>
        <w:ind w:left="113" w:right="113"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Rule="auto"/>
        <w:ind w:left="113" w:right="113"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21.0" w:type="dxa"/>
        <w:jc w:val="left"/>
        <w:tblInd w:w="55.0" w:type="dxa"/>
        <w:tblLayout w:type="fixed"/>
        <w:tblLook w:val="0400"/>
      </w:tblPr>
      <w:tblGrid>
        <w:gridCol w:w="1200"/>
        <w:gridCol w:w="9021"/>
        <w:tblGridChange w:id="0">
          <w:tblGrid>
            <w:gridCol w:w="1200"/>
            <w:gridCol w:w="902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concurrents admissibles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pos="3945"/>
        </w:tabs>
        <w:spacing w:line="335.99999999999994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non_eliminer_concurrants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1"/>
        <w:tblW w:w="10221.0" w:type="dxa"/>
        <w:jc w:val="left"/>
        <w:tblInd w:w="55.0" w:type="dxa"/>
        <w:tblLayout w:type="fixed"/>
        <w:tblLook w:val="0400"/>
      </w:tblPr>
      <w:tblGrid>
        <w:gridCol w:w="1200"/>
        <w:gridCol w:w="9021"/>
        <w:tblGridChange w:id="0">
          <w:tblGrid>
            <w:gridCol w:w="1200"/>
            <w:gridCol w:w="902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${0}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20" w:before="120" w:lineRule="auto"/>
        <w:ind w:right="113"/>
        <w:jc w:val="both"/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highlight w:val="white"/>
          <w:rtl w:val="0"/>
        </w:rPr>
        <w:t xml:space="preserve">non_eliminer_concurrants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20" w:before="120" w:lineRule="auto"/>
        <w:ind w:right="113"/>
        <w:jc w:val="both"/>
        <w:rPr>
          <w:rFonts w:ascii="Courier New" w:cs="Courier New" w:eastAsia="Courier New" w:hAnsi="Courier New"/>
          <w:b w:val="1"/>
          <w:color w:val="66666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ind w:right="11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 des concurrents admissibles avec réserves : </w:t>
      </w:r>
    </w:p>
    <w:tbl>
      <w:tblPr>
        <w:tblStyle w:val="Table12"/>
        <w:tblW w:w="10080.0" w:type="dxa"/>
        <w:jc w:val="left"/>
        <w:tblInd w:w="55.0" w:type="dxa"/>
        <w:tblLayout w:type="fixed"/>
        <w:tblLook w:val="0400"/>
      </w:tblPr>
      <w:tblGrid>
        <w:gridCol w:w="4410"/>
        <w:gridCol w:w="5670"/>
        <w:tblGridChange w:id="0">
          <w:tblGrid>
            <w:gridCol w:w="4410"/>
            <w:gridCol w:w="56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Les concurrents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 de la réserve</w:t>
            </w:r>
          </w:p>
        </w:tc>
      </w:tr>
    </w:tbl>
    <w:p w:rsidR="00000000" w:rsidDel="00000000" w:rsidP="00000000" w:rsidRDefault="00000000" w:rsidRPr="00000000" w14:paraId="00000066">
      <w:pPr>
        <w:ind w:right="11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reserve</w:t>
      </w: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3"/>
        <w:tblW w:w="10080.0" w:type="dxa"/>
        <w:jc w:val="left"/>
        <w:tblInd w:w="55.0" w:type="dxa"/>
        <w:tblLayout w:type="fixed"/>
        <w:tblLook w:val="0400"/>
      </w:tblPr>
      <w:tblGrid>
        <w:gridCol w:w="4410"/>
        <w:gridCol w:w="5670"/>
        <w:tblGridChange w:id="0">
          <w:tblGrid>
            <w:gridCol w:w="4410"/>
            <w:gridCol w:w="56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${1}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${2}</w:t>
            </w:r>
          </w:p>
        </w:tc>
      </w:tr>
    </w:tbl>
    <w:p w:rsidR="00000000" w:rsidDel="00000000" w:rsidP="00000000" w:rsidRDefault="00000000" w:rsidRPr="00000000" w14:paraId="0000006A">
      <w:pPr>
        <w:ind w:right="11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reserve</w:t>
      </w: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séance publique est alors reprise.</w:t>
      </w:r>
    </w:p>
    <w:p w:rsidR="00000000" w:rsidDel="00000000" w:rsidP="00000000" w:rsidRDefault="00000000" w:rsidRPr="00000000" w14:paraId="0000006D">
      <w:pPr>
        <w:spacing w:after="120" w:before="12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donne alors lecture de la liste des concurrents admissibles, il s’agit de :</w:t>
      </w:r>
    </w:p>
    <w:tbl>
      <w:tblPr>
        <w:tblStyle w:val="Table14"/>
        <w:tblW w:w="10215.0" w:type="dxa"/>
        <w:jc w:val="left"/>
        <w:tblInd w:w="55.0" w:type="dxa"/>
        <w:tblLayout w:type="fixed"/>
        <w:tblLook w:val="0400"/>
      </w:tblPr>
      <w:tblGrid>
        <w:gridCol w:w="840"/>
        <w:gridCol w:w="9375"/>
        <w:tblGridChange w:id="0">
          <w:tblGrid>
            <w:gridCol w:w="840"/>
            <w:gridCol w:w="937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concurrents admissibles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non_eliminer_concurrant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5"/>
        <w:tblW w:w="10215.0" w:type="dxa"/>
        <w:jc w:val="left"/>
        <w:tblInd w:w="55.0" w:type="dxa"/>
        <w:tblLayout w:type="fixed"/>
        <w:tblLook w:val="0400"/>
      </w:tblPr>
      <w:tblGrid>
        <w:gridCol w:w="840"/>
        <w:gridCol w:w="9375"/>
        <w:tblGridChange w:id="0">
          <w:tblGrid>
            <w:gridCol w:w="840"/>
            <w:gridCol w:w="937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${0}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${1}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right="11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non_eliminer_concurrant</w:t>
      </w: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right="11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procède ensuite à l’ouverture des enveloppes des concurrents admissibles portant la mention « offres financières » et donne lecture de la teneur des actes d’engagement comme suit : 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-356.0" w:type="dxa"/>
        <w:tblLayout w:type="fixed"/>
        <w:tblLook w:val="0400"/>
      </w:tblPr>
      <w:tblGrid>
        <w:gridCol w:w="990"/>
        <w:gridCol w:w="6945"/>
        <w:gridCol w:w="2835"/>
        <w:tblGridChange w:id="0">
          <w:tblGrid>
            <w:gridCol w:w="990"/>
            <w:gridCol w:w="6945"/>
            <w:gridCol w:w="28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concurrents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ind w:right="213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Montant des actes d'engagement DH TTC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montant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7"/>
        <w:tblW w:w="10770.0" w:type="dxa"/>
        <w:jc w:val="left"/>
        <w:tblInd w:w="-356.0" w:type="dxa"/>
        <w:tblLayout w:type="fixed"/>
        <w:tblLook w:val="0400"/>
      </w:tblPr>
      <w:tblGrid>
        <w:gridCol w:w="1020"/>
        <w:gridCol w:w="6915"/>
        <w:gridCol w:w="2835"/>
        <w:tblGridChange w:id="0">
          <w:tblGrid>
            <w:gridCol w:w="1020"/>
            <w:gridCol w:w="6915"/>
            <w:gridCol w:w="28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${0}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${1}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${2}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montant</w:t>
      </w: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membres de la commission paraphent les actes d’engagement et les bordereaux des prix.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commission poursuit alors ses travaux à huit clos.</w:t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Les soumissionnaires écartés : </w:t>
      </w:r>
      <w:r w:rsidDel="00000000" w:rsidR="00000000" w:rsidRPr="00000000">
        <w:rPr>
          <w:b w:val="1"/>
          <w:sz w:val="28"/>
          <w:szCs w:val="28"/>
          <w:rtl w:val="0"/>
        </w:rPr>
        <w:t xml:space="preserve">Néant.</w:t>
      </w:r>
    </w:p>
    <w:p w:rsidR="00000000" w:rsidDel="00000000" w:rsidP="00000000" w:rsidRDefault="00000000" w:rsidRPr="00000000" w14:paraId="00000082">
      <w:pPr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commission désigne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Mohammed EL YAAGOUBI (</w:t>
      </w:r>
      <w:r w:rsidDel="00000000" w:rsidR="00000000" w:rsidRPr="00000000">
        <w:rPr>
          <w:rtl w:val="0"/>
        </w:rPr>
        <w:t xml:space="preserve">Chargé bureau des achats au service des S.A.A.F.C.E.P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) et Nadia CHAHID (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Chargé de l’unité des engagements des dépenses-Budget d’exploitation - (S.A.A.F.C.E.P) </w:t>
      </w:r>
      <w:r w:rsidDel="00000000" w:rsidR="00000000" w:rsidRPr="00000000">
        <w:rPr>
          <w:sz w:val="24"/>
          <w:szCs w:val="24"/>
          <w:rtl w:val="0"/>
        </w:rPr>
        <w:t xml:space="preserve">pour procéder à la vérification des opérations arithmétique (voir PV ci-joint) des offres des concurrents admissibles et rectifier les erreurs de calculs relevées dans leurs actes d’engagement et rétablir les montants exacts des offres concernées.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Ensuite, la commission d’ouverture des plis suspend ses travaux afin de permettre à la sous-commission d’analyser et d’examiner les offres des concurrents retenus conformément à l’article 40 et 41 de décret n° 2-12-349 du 20 Mars 2013 relatif aux marchés publics, et selon les prescriptions du règlement de la consultation. Elle décide de reprendre ses travaux le même jour à 15h30.</w:t>
      </w:r>
    </w:p>
    <w:p w:rsidR="00000000" w:rsidDel="00000000" w:rsidP="00000000" w:rsidRDefault="00000000" w:rsidRPr="00000000" w14:paraId="00000084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09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Fait à MDIQ le :    </w:t>
      </w:r>
    </w:p>
    <w:p w:rsidR="00000000" w:rsidDel="00000000" w:rsidP="00000000" w:rsidRDefault="00000000" w:rsidRPr="00000000" w14:paraId="00000087">
      <w:pPr>
        <w:ind w:firstLine="709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09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09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.</w:t>
      </w:r>
    </w:p>
    <w:p w:rsidR="00000000" w:rsidDel="00000000" w:rsidP="00000000" w:rsidRDefault="00000000" w:rsidRPr="00000000" w14:paraId="0000008A">
      <w:pPr>
        <w:ind w:firstLine="709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3150"/>
        <w:gridCol w:w="3645"/>
        <w:tblGridChange w:id="0">
          <w:tblGrid>
            <w:gridCol w:w="3300"/>
            <w:gridCol w:w="3150"/>
            <w:gridCol w:w="3645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shd w:fill="c5d9f0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70" w:right="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Nom et Prénom</w:t>
            </w:r>
          </w:p>
        </w:tc>
        <w:tc>
          <w:tcPr>
            <w:shd w:fill="c5d9f0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Qualité</w:t>
            </w:r>
          </w:p>
        </w:tc>
        <w:tc>
          <w:tcPr>
            <w:shd w:fill="c5d9f0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4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</w:tbl>
    <w:p w:rsidR="00000000" w:rsidDel="00000000" w:rsidP="00000000" w:rsidRDefault="00000000" w:rsidRPr="00000000" w14:paraId="0000008E">
      <w:pPr>
        <w:spacing w:after="120" w:before="120" w:lineRule="auto"/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block_juriess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tbl>
      <w:tblPr>
        <w:tblStyle w:val="Table19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0"/>
        <w:gridCol w:w="3150"/>
        <w:gridCol w:w="3600"/>
        <w:tblGridChange w:id="0">
          <w:tblGrid>
            <w:gridCol w:w="3330"/>
            <w:gridCol w:w="3150"/>
            <w:gridCol w:w="360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${0} ${1}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${3}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20" w:before="120" w:lineRule="auto"/>
        <w:ind w:left="113" w:right="113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block_juriess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footerReference r:id="rId8" w:type="default"/>
      <w:pgSz w:h="16838" w:w="11906" w:orient="portrait"/>
      <w:pgMar w:bottom="1417" w:top="284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gerian"/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Calligrap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8382000</wp:posOffset>
              </wp:positionV>
              <wp:extent cx="415925" cy="3219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61850" y="3642840"/>
                        <a:ext cx="368300" cy="274320"/>
                      </a:xfrm>
                      <a:custGeom>
                        <a:rect b="b" l="l" r="r" t="t"/>
                        <a:pathLst>
                          <a:path extrusionOk="0" h="274320" w="36830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22262" y="274320"/>
                            </a:lnTo>
                            <a:lnTo>
                              <a:pt x="368300" y="240030"/>
                            </a:lnTo>
                            <a:lnTo>
                              <a:pt x="368300" y="0"/>
                            </a:lnTo>
                            <a:close/>
                          </a:path>
                          <a:path extrusionOk="0" fill="none" h="274320" w="368300">
                            <a:moveTo>
                              <a:pt x="322262" y="274320"/>
                            </a:moveTo>
                            <a:lnTo>
                              <a:pt x="334164" y="241198"/>
                            </a:lnTo>
                            <a:cubicBezTo>
                              <a:pt x="338784" y="246456"/>
                              <a:pt x="351027" y="246456"/>
                              <a:pt x="368300" y="240030"/>
                            </a:cubicBez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9525">
                        <a:solidFill>
                          <a:srgbClr val="80808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   \* MERGEFORMAT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8382000</wp:posOffset>
              </wp:positionV>
              <wp:extent cx="415925" cy="32194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925" cy="3219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Book Antiqua" w:cs="Book Antiqua" w:eastAsia="Book Antiqua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bullet"/>
      <w:lvlText w:val="-"/>
      <w:lvlJc w:val="left"/>
      <w:pPr>
        <w:ind w:left="1400" w:hanging="360"/>
      </w:pPr>
      <w:rPr>
        <w:rFonts w:ascii="Book Antiqua" w:cs="Book Antiqua" w:eastAsia="Book Antiqua" w:hAnsi="Book Antiqua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archespublics.gov.ma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