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false"/>
        <w:keepLines w:val="false"/>
        <w:spacing w:lineRule="auto" w:line="331" w:before="360" w:after="80"/>
        <w:rPr>
          <w:b/>
          <w:bCs/>
          <w:sz w:val="34"/>
          <w:szCs w:val="34"/>
        </w:rPr>
      </w:pPr>
      <w:r>
        <w:rPr/>
      </w:r>
    </w:p>
    <w:p>
      <w:pPr>
        <w:pStyle w:val="Heading3"/>
        <w:keepNext w:val="false"/>
        <w:keepLines w:val="false"/>
        <w:spacing w:lineRule="auto" w:line="331" w:before="280" w:after="80"/>
        <w:rPr>
          <w:b/>
          <w:bCs/>
          <w:color w:val="000000"/>
          <w:sz w:val="26"/>
          <w:szCs w:val="26"/>
        </w:rPr>
      </w:pPr>
      <w:bookmarkStart w:id="0" w:name="_dz1o0xfxsumz"/>
      <w:bookmarkEnd w:id="0"/>
      <w:r>
        <w:rPr>
          <w:b/>
          <w:bCs/>
          <w:color w:val="000000"/>
          <w:sz w:val="26"/>
          <w:szCs w:val="26"/>
        </w:rPr>
        <w:t>CZĘŚĆ IV: Najazdy, upadek Thes-Kaal i Wielka Susza</w:t>
      </w:r>
    </w:p>
    <w:p>
      <w:pPr>
        <w:pStyle w:val="normal1"/>
        <w:spacing w:lineRule="auto" w:line="331" w:before="240" w:after="240"/>
        <w:rPr/>
      </w:pPr>
      <w:r>
        <w:rPr/>
        <w:t>Profesor zaczyna tę część od zdania zapisanego wielkimi literami w notatkach:</w:t>
        <w:br/>
      </w:r>
      <w:r>
        <w:rPr>
          <w:b/>
          <w:bCs/>
        </w:rPr>
        <w:t>„AGARWIA NIE UPADŁA NAGLE”</w:t>
      </w:r>
      <w:r>
        <w:rPr/>
        <w:t>.</w:t>
        <w:br/>
        <w:t>Podkreśla, że narracja o jednym kataklizmie jest uproszczeniem. To raczej splot kilku procesów, które zbiegły się w czasie.</w:t>
      </w:r>
    </w:p>
    <w:p>
      <w:pPr>
        <w:pStyle w:val="normal1"/>
        <w:spacing w:lineRule="auto" w:line="331" w:before="240" w:after="240"/>
        <w:rPr/>
      </w:pPr>
      <w:r>
        <w:rPr/>
        <w:t xml:space="preserve">Pierwszym z nich jest </w:t>
      </w:r>
      <w:r>
        <w:rPr>
          <w:b/>
          <w:bCs/>
        </w:rPr>
        <w:t>Najazd Ludów Mgły (ok. 1872 r. p.n.e.)</w:t>
      </w:r>
      <w:r>
        <w:rPr/>
        <w:t>. Same Ludy Mgły pozostają jedną z najbardziej niejasnych grup w całej historii regionu. Źródła nie są zgodne co do ich pochodzenia. Jedni kronikarze piszą o zachodzie, inni o północnych wyżynach, jeszcze inni sugerują, że „mgła” to metafora — sposób walki, a nie nazwa etniczna.</w:t>
      </w:r>
    </w:p>
    <w:p>
      <w:pPr>
        <w:pStyle w:val="normal1"/>
        <w:spacing w:lineRule="auto" w:line="331" w:before="240" w:after="240"/>
        <w:rPr/>
      </w:pPr>
      <w:r>
        <w:rPr/>
        <w:t xml:space="preserve">Opisy są jednak zaskakująco spójne, jeśli chodzi o taktykę: ataki nocne, szybkie uderzenia, brak prób długotrwałego oblężenia. Miasta nie są zdobywane frontalnie, raczej izolowane, odcinane od szlaków handlowych. W notatkach: </w:t>
      </w:r>
      <w:r>
        <w:rPr>
          <w:i/>
          <w:iCs/>
        </w:rPr>
        <w:t>wojna psychologiczna</w:t>
      </w:r>
      <w:r>
        <w:rPr/>
        <w:t>. Mgła jako strach, dezorientacja, brak informacji.</w:t>
      </w:r>
    </w:p>
    <w:p>
      <w:pPr>
        <w:pStyle w:val="normal1"/>
        <w:spacing w:lineRule="auto" w:line="331" w:before="240" w:after="240"/>
        <w:rPr/>
      </w:pPr>
      <w:r>
        <w:rPr/>
        <w:t xml:space="preserve">Co istotne, Ludy Mgły </w:t>
      </w:r>
      <w:r>
        <w:rPr>
          <w:b/>
          <w:bCs/>
        </w:rPr>
        <w:t>nie niszczą świątyń w pierwszej kolejności</w:t>
      </w:r>
      <w:r>
        <w:rPr/>
        <w:t>. To podważa tezę o konflikcie religijnym. Atakują magazyny, kanały, punkty wymiany. Uderzają w tkankę gospodarczą, nie symboliczną. To przyspiesza proces, który już trwał: osłabienie centrów miejskich.</w:t>
      </w:r>
    </w:p>
    <w:p>
      <w:pPr>
        <w:pStyle w:val="normal1"/>
        <w:spacing w:lineRule="auto" w:line="331" w:before="240" w:after="240"/>
        <w:rPr/>
      </w:pPr>
      <w:r>
        <w:rPr/>
        <w:t xml:space="preserve">W tym czasie </w:t>
      </w:r>
      <w:r>
        <w:rPr>
          <w:b/>
          <w:bCs/>
        </w:rPr>
        <w:t>Thes-Kaal</w:t>
      </w:r>
      <w:r>
        <w:rPr/>
        <w:t xml:space="preserve"> nadal funkcjonuje, ale jego rola jest coraz bardziej ceremonialna. Profesor zwraca uwagę, że krąg kamienny przestaje być miejscem realnych decyzji. Odbywają się tam rytuały „ku pamięci”, a nie „ku przyszłości”. To bardzo charakterystyczne sformułowanie.</w:t>
      </w:r>
    </w:p>
    <w:p>
      <w:pPr>
        <w:pStyle w:val="normal1"/>
        <w:spacing w:lineRule="auto" w:line="331" w:before="240" w:after="240"/>
        <w:rPr/>
      </w:pPr>
      <w:r>
        <w:rPr/>
        <w:t xml:space="preserve">Kulminacją kryzysu symbolicznego jest </w:t>
      </w:r>
      <w:r>
        <w:rPr>
          <w:b/>
          <w:bCs/>
        </w:rPr>
        <w:t>Upadek Thes-Kaal w 1859 r. p.n.e.</w:t>
      </w:r>
      <w:r>
        <w:rPr/>
        <w:t xml:space="preserve"> Źródła są niejednoznaczne: jedne mówią o zniszczeniu przez najeźdźców, inne o zawaleniu się części konstrukcji w wyniku trzęsienia ziemi, jeszcze inne sugerują akt celowy — rozbiórkę kamieni przez samych Merynów. Profesor podkreślał, że </w:t>
      </w:r>
      <w:r>
        <w:rPr>
          <w:b/>
          <w:bCs/>
        </w:rPr>
        <w:t>znaczenie upadku jest ważniejsze niż jego mechanika</w:t>
      </w:r>
      <w:r>
        <w:rPr/>
        <w:t>.</w:t>
      </w:r>
    </w:p>
    <w:p>
      <w:pPr>
        <w:pStyle w:val="normal1"/>
        <w:spacing w:lineRule="auto" w:line="331" w:before="240" w:after="240"/>
        <w:rPr/>
      </w:pPr>
      <w:r>
        <w:rPr/>
        <w:t xml:space="preserve">Po Thes-Kaal nic już nie pełni funkcji wspólnego centrum. Rytuały stają się lokalne, fragmentaryczne. Pieśni Długiego Zmierzchu w tym okresie zmieniają ton — pojawia się motyw „ostatniego kamienia”, który „pamięta imiona, gdy ludzie już zapomnieli”. Z tego pochodzi późniejsza </w:t>
      </w:r>
      <w:r>
        <w:rPr>
          <w:b/>
          <w:bCs/>
        </w:rPr>
        <w:t>Pieśń Ostatniego Kamienia</w:t>
      </w:r>
      <w:r>
        <w:rPr/>
        <w:t>, znana w wielu wariantach.</w:t>
      </w:r>
    </w:p>
    <w:p>
      <w:pPr>
        <w:pStyle w:val="normal1"/>
        <w:spacing w:lineRule="auto" w:line="331" w:before="240" w:after="240"/>
        <w:rPr/>
      </w:pPr>
      <w:r>
        <w:rPr/>
        <w:t xml:space="preserve">Niemal równolegle zaczyna się </w:t>
      </w:r>
      <w:r>
        <w:rPr>
          <w:b/>
          <w:bCs/>
        </w:rPr>
        <w:t>Wielka Susza Agarwii (ok. 1800 r. p.n.e.)</w:t>
      </w:r>
      <w:r>
        <w:rPr/>
        <w:t xml:space="preserve">. Dane archeologiczne wskazują na wyraźne zmniejszenie się przepływu rzek, zasolenie gleby, porzucanie pól. Profesor zaznaczał, że susza sama w sobie nie musiałaby oznaczać końca cywilizacji — wcześniejsze pokolenia radziły sobie z kryzysami klimatycznymi. Problemem był </w:t>
      </w:r>
      <w:r>
        <w:rPr>
          <w:b/>
          <w:bCs/>
        </w:rPr>
        <w:t>brak instytucji zdolnych do skoordynowanej reakcji</w:t>
      </w:r>
      <w:r>
        <w:rPr/>
        <w:t>.</w:t>
      </w:r>
    </w:p>
    <w:p>
      <w:pPr>
        <w:pStyle w:val="normal1"/>
        <w:spacing w:lineRule="auto" w:line="331" w:before="240" w:after="240"/>
        <w:rPr/>
      </w:pPr>
      <w:r>
        <w:rPr/>
        <w:t>Rada Dziewięciu Miast istnieje, ale jej autorytet jest ograniczony do obszarów miejskich. Starszyzna rodowa traci wpływy, kapłani — wiarygodność. Nikt nie ma narzędzi, by narzucić wspólną strategię. Każda osada zaczyna działać na własną rękę.</w:t>
      </w:r>
    </w:p>
    <w:p>
      <w:pPr>
        <w:pStyle w:val="normal1"/>
        <w:spacing w:lineRule="auto" w:line="331" w:before="240" w:after="240"/>
        <w:rPr/>
      </w:pPr>
      <w:r>
        <w:rPr/>
        <w:t xml:space="preserve">W notatkach pojawia się termin </w:t>
      </w:r>
      <w:r>
        <w:rPr>
          <w:b/>
          <w:bCs/>
        </w:rPr>
        <w:t>„rozpad poziomy”</w:t>
      </w:r>
      <w:r>
        <w:rPr/>
        <w:t xml:space="preserve"> — społeczeństwo nie rozpada się przez bunt czy wojnę domową, lecz przez stopniowe wycofywanie się jednostek i rodów z większych struktur. Ludzie przestają myśleć w kategoriach Agarwii, zaczynają myśleć w kategoriach przetrwania.</w:t>
      </w:r>
    </w:p>
    <w:p>
      <w:pPr>
        <w:pStyle w:val="normal1"/>
        <w:spacing w:lineRule="auto" w:line="331" w:before="240" w:after="240"/>
        <w:rPr/>
      </w:pPr>
      <w:r>
        <w:rPr/>
        <w:t xml:space="preserve">To prowadzi do </w:t>
      </w:r>
      <w:r>
        <w:rPr>
          <w:b/>
          <w:bCs/>
        </w:rPr>
        <w:t>Rozproszenia Merynów</w:t>
      </w:r>
      <w:r>
        <w:rPr/>
        <w:t>. Migracje nie są jednorazowe. Najpierw wyjeżdżają rzemieślnicy i kupcy, potem całe rody. Część podąża wzdłuż dawnych szlaków handlowych, inni wracają na obrzeża pustyni, jeszcze inni osiedlają się w górach. Nie ma jednego kierunku.</w:t>
      </w:r>
    </w:p>
    <w:p>
      <w:pPr>
        <w:pStyle w:val="normal1"/>
        <w:spacing w:lineRule="auto" w:line="331" w:before="240" w:after="240"/>
        <w:rPr/>
      </w:pPr>
      <w:r>
        <w:rPr/>
        <w:t xml:space="preserve">Z tym okresem związana jest </w:t>
      </w:r>
      <w:r>
        <w:rPr>
          <w:b/>
          <w:bCs/>
        </w:rPr>
        <w:t>Tradycja Wędrującego Ognia</w:t>
      </w:r>
      <w:r>
        <w:rPr/>
        <w:t>. Źródła opisują zwyczaj zabierania żaru z ogniska domowego i przenoszenia go w glinianym naczyniu do nowego miejsca. Ogień symbolizuje ciągłość rodu, nawet jeśli ziemia i dom zostają porzucone. Profesor podkreślał, że to jeden z nielicznych elementów kultury, który przetrwał rozpad struktur politycznych.</w:t>
      </w:r>
    </w:p>
    <w:p>
      <w:pPr>
        <w:pStyle w:val="normal1"/>
        <w:spacing w:lineRule="auto" w:line="331" w:before="240" w:after="240"/>
        <w:rPr/>
      </w:pPr>
      <w:r>
        <w:rPr/>
        <w:t xml:space="preserve">W </w:t>
      </w:r>
      <w:r>
        <w:rPr>
          <w:b/>
          <w:bCs/>
        </w:rPr>
        <w:t>1720 r. p.n.e.</w:t>
      </w:r>
      <w:r>
        <w:rPr/>
        <w:t xml:space="preserve"> powstaje to, co później nazwano </w:t>
      </w:r>
      <w:r>
        <w:rPr>
          <w:b/>
          <w:bCs/>
        </w:rPr>
        <w:t>Ostatnią Kroniką Agarwii</w:t>
      </w:r>
      <w:r>
        <w:rPr/>
        <w:t xml:space="preserve">. Spisana fragmentarycznie, chaotycznie, prawdopodobnie przez jedną osobę — </w:t>
      </w:r>
      <w:r>
        <w:rPr>
          <w:b/>
          <w:bCs/>
        </w:rPr>
        <w:t>Hamar-Sela</w:t>
      </w:r>
      <w:r>
        <w:rPr/>
        <w:t>. Styl kroniki jest emocjonalny, momentami desperacki. Zapiski nie mają już charakteru administracyjnego, raczej egzystencjalny: „ile nas zostało”, „kto odszedł”, „które miasto milczy”.</w:t>
      </w:r>
    </w:p>
    <w:p>
      <w:pPr>
        <w:pStyle w:val="normal1"/>
        <w:spacing w:lineRule="auto" w:line="331" w:before="240" w:after="240"/>
        <w:rPr/>
      </w:pPr>
      <w:r>
        <w:rPr/>
        <w:t xml:space="preserve">To ostatni znany tekst zapisany w Piśmie Złamanego Ziarna. Po nim pismo zanika. Profesor zaznaczał, że </w:t>
      </w:r>
      <w:r>
        <w:rPr>
          <w:b/>
          <w:bCs/>
        </w:rPr>
        <w:t>zanik pisma jest jednym z najbardziej jednoznacznych wskaźników końca epoki</w:t>
      </w:r>
      <w:r>
        <w:rPr/>
        <w:t>. Bez pisma nie ma administracji, nie ma pamięci instytucjonalnej, nie ma państwa.</w:t>
      </w:r>
    </w:p>
    <w:p>
      <w:pPr>
        <w:pStyle w:val="Heading3"/>
        <w:keepNext w:val="false"/>
        <w:keepLines w:val="false"/>
        <w:spacing w:lineRule="auto" w:line="331" w:before="280" w:after="80"/>
        <w:rPr>
          <w:b/>
          <w:bCs/>
          <w:color w:val="000000"/>
          <w:sz w:val="26"/>
          <w:szCs w:val="26"/>
        </w:rPr>
      </w:pPr>
      <w:bookmarkStart w:id="1" w:name="_nwoeegwcojx7"/>
      <w:bookmarkEnd w:id="1"/>
      <w:r>
        <w:rPr>
          <w:b/>
          <w:bCs/>
          <w:color w:val="000000"/>
          <w:sz w:val="26"/>
          <w:szCs w:val="26"/>
        </w:rPr>
        <w:t>CZĘŚĆ V: Zanik języka, koniec epoki i dziedzictwo Agarwii</w:t>
      </w:r>
    </w:p>
    <w:p>
      <w:pPr>
        <w:pStyle w:val="normal1"/>
        <w:spacing w:lineRule="auto" w:line="331" w:before="240" w:after="240"/>
        <w:rPr/>
      </w:pPr>
      <w:r>
        <w:rPr/>
        <w:t xml:space="preserve">Profesor zaczyna ostatnią część od uwagi, że </w:t>
      </w:r>
      <w:r>
        <w:rPr>
          <w:b/>
          <w:bCs/>
        </w:rPr>
        <w:t>koniec starożytnej Agarwii (ok. 1600 r. p.n.e.)</w:t>
      </w:r>
      <w:r>
        <w:rPr/>
        <w:t xml:space="preserve"> jest datą czysto umowną. Nie ma wydarzenia, które można by jednoznacznie wskazać jako „upadek”. Raczej moment, w którym </w:t>
      </w:r>
      <w:r>
        <w:rPr>
          <w:b/>
          <w:bCs/>
        </w:rPr>
        <w:t>przestają istnieć jakiekolwiek źródła wytworzone przez samych Merynów</w:t>
      </w:r>
      <w:r>
        <w:rPr/>
        <w:t>, a późniejsze wzmianki pochodzą już wyłącznie od ludów sąsiednich.</w:t>
      </w:r>
    </w:p>
    <w:p>
      <w:pPr>
        <w:pStyle w:val="normal1"/>
        <w:spacing w:lineRule="auto" w:line="331" w:before="240" w:after="240"/>
        <w:rPr/>
      </w:pPr>
      <w:r>
        <w:rPr/>
        <w:t xml:space="preserve">Jednym z kluczowych procesów schyłkowych jest </w:t>
      </w:r>
      <w:r>
        <w:rPr>
          <w:b/>
          <w:bCs/>
        </w:rPr>
        <w:t>zanik Języka Wysokiego Merynu</w:t>
      </w:r>
      <w:r>
        <w:rPr/>
        <w:t xml:space="preserve">. Był to język elit — kapłanów, kronikarzy, administracji. W miarę rozpadu struktur państwowych przestaje być potrzebny. W codziennym życiu dominują dialekty lokalne, uproszczone, bardziej funkcjonalne. Profesor zaznaczał, że </w:t>
      </w:r>
      <w:r>
        <w:rPr>
          <w:b/>
          <w:bCs/>
        </w:rPr>
        <w:t>język umiera nie dlatego, że nikt nim nie mówi, ale dlatego, że nikt nie musi nim mówić</w:t>
      </w:r>
      <w:r>
        <w:rPr/>
        <w:t>.</w:t>
      </w:r>
    </w:p>
    <w:p>
      <w:pPr>
        <w:pStyle w:val="normal1"/>
        <w:spacing w:lineRule="auto" w:line="331" w:before="240" w:after="240"/>
        <w:rPr/>
      </w:pPr>
      <w:r>
        <w:rPr/>
        <w:t>Ciekawa obserwacja: w późniejszych przekazach Wysoki Meryn pojawia się jako język magiczny, niezrozumiały, używany w zaklęciach lub przysięgach. To klasyczny proces sakralizacji martwego języka. Fragmenty Pieśni Długiego Zmierzchu są cytowane fonetycznie, bez rozumienia sensu.</w:t>
      </w:r>
    </w:p>
    <w:p>
      <w:pPr>
        <w:pStyle w:val="normal1"/>
        <w:spacing w:lineRule="auto" w:line="331" w:before="240" w:after="240"/>
        <w:rPr/>
      </w:pPr>
      <w:r>
        <w:rPr/>
        <w:t xml:space="preserve">Około </w:t>
      </w:r>
      <w:r>
        <w:rPr>
          <w:b/>
          <w:bCs/>
        </w:rPr>
        <w:t>1600 r. p.n.e.</w:t>
      </w:r>
      <w:r>
        <w:rPr/>
        <w:t xml:space="preserve"> znika też sama nazwa „Agarwia” jako określenie polityczne. W źródłach zewnętrznych pojawiają się raczej opisy „ziem dawnych miast”, „krainy trzech rzek” albo „miejsca starych kamieni”. To bardzo ważne: </w:t>
      </w:r>
      <w:r>
        <w:rPr>
          <w:b/>
          <w:bCs/>
        </w:rPr>
        <w:t>utrata nazwy = utrata tożsamości zbiorowej</w:t>
      </w:r>
      <w:r>
        <w:rPr/>
        <w:t>.</w:t>
      </w:r>
    </w:p>
    <w:p>
      <w:pPr>
        <w:pStyle w:val="normal1"/>
        <w:spacing w:lineRule="auto" w:line="331" w:before="240" w:after="240"/>
        <w:rPr/>
      </w:pPr>
      <w:r>
        <w:rPr/>
        <w:t xml:space="preserve">Profesor dużo czasu poświęca tzw. </w:t>
      </w:r>
      <w:r>
        <w:rPr>
          <w:b/>
          <w:bCs/>
        </w:rPr>
        <w:t>Mitom Powrotu</w:t>
      </w:r>
      <w:r>
        <w:rPr/>
        <w:t>. Są to opowieści przekazywane przez potomków Merynów w różnych regionach. Motyw powtarzający się niemal wszędzie: Agarwia nie została zniszczona, tylko „zapadła się w czas”. Ma powrócić, gdy lud znów będzie gotów żyć wspólnie. W niektórych wersjach pojawia się wizja ponownego wzniesienia Thes-Kaal, w innych — powrotu Selmar w nowej postaci.</w:t>
      </w:r>
    </w:p>
    <w:p>
      <w:pPr>
        <w:pStyle w:val="normal1"/>
        <w:spacing w:lineRule="auto" w:line="331" w:before="240" w:after="240"/>
        <w:rPr/>
      </w:pPr>
      <w:r>
        <w:rPr/>
        <w:t xml:space="preserve">Interesujące jest to, że mity te </w:t>
      </w:r>
      <w:r>
        <w:rPr>
          <w:b/>
          <w:bCs/>
        </w:rPr>
        <w:t>nie wzywają do realnego powrotu geograficznego</w:t>
      </w:r>
      <w:r>
        <w:rPr/>
        <w:t>. Agarwia staje się kategorią moralną, nie miejscem na mapie. Profesor określa to jako „utopizację przeszłości”.</w:t>
      </w:r>
    </w:p>
    <w:p>
      <w:pPr>
        <w:pStyle w:val="normal1"/>
        <w:spacing w:lineRule="auto" w:line="331" w:before="240" w:after="240"/>
        <w:rPr/>
      </w:pPr>
      <w:r>
        <w:rPr/>
        <w:t xml:space="preserve">Archeologicznie z tego okresu pochodzą tzw. </w:t>
      </w:r>
      <w:r>
        <w:rPr>
          <w:b/>
          <w:bCs/>
        </w:rPr>
        <w:t>Kamienie Bez Imion</w:t>
      </w:r>
      <w:r>
        <w:rPr/>
        <w:t xml:space="preserve"> — pozostałości osad, w których brak inskrypcji, znaków rodowych, jakiejkolwiek symboliki. Są to miejsca krótkotrwałe, prowizoryczne. Profesor sugeruje, że ich anonimowość jest świadoma: po doświadczeniu upadku wielkich struktur ludzie nie chcą już pozostawiać trwałych śladów.</w:t>
      </w:r>
    </w:p>
    <w:p>
      <w:pPr>
        <w:pStyle w:val="normal1"/>
        <w:spacing w:lineRule="auto" w:line="331" w:before="240" w:after="240"/>
        <w:rPr/>
      </w:pPr>
      <w:r>
        <w:rPr/>
        <w:t xml:space="preserve">Mimo rozpadu, </w:t>
      </w:r>
      <w:r>
        <w:rPr>
          <w:b/>
          <w:bCs/>
        </w:rPr>
        <w:t>dziedzictwo Merynów</w:t>
      </w:r>
      <w:r>
        <w:rPr/>
        <w:t xml:space="preserve"> jest wyraźne. Późniejsze kultury regionu przejmują rozwiązania irygacyjne, elementy prawa zwyczajowego (zwłaszcza kolegialność decyzji), a nawet fragmenty kalendarza. Co ciekawe, kult Selmar przetrwał w formie lokalnych bóstw żeńskich, często już bez związku z oryginalną mitologią.</w:t>
      </w:r>
    </w:p>
    <w:p>
      <w:pPr>
        <w:pStyle w:val="normal1"/>
        <w:spacing w:lineRule="auto" w:line="331" w:before="240" w:after="240"/>
        <w:rPr/>
      </w:pPr>
      <w:r>
        <w:rPr/>
        <w:t xml:space="preserve">Szczególną rolę odgrywa pojęcie </w:t>
      </w:r>
      <w:r>
        <w:rPr>
          <w:b/>
          <w:bCs/>
        </w:rPr>
        <w:t>Agarwii Utraconej</w:t>
      </w:r>
      <w:r>
        <w:rPr/>
        <w:t xml:space="preserve">. Termin ten nie pochodzi od samych Merynów, lecz od późniejszych historyków i poetów. Agarwia staje się symbolem cywilizacji, która rozpadła się nie przez pychę czy dekadencję, ale przez </w:t>
      </w:r>
      <w:r>
        <w:rPr>
          <w:b/>
          <w:bCs/>
        </w:rPr>
        <w:t>utracenie zdolności wspólnego znaczenia</w:t>
      </w:r>
      <w:r>
        <w:rPr/>
        <w:t>. Profesor podkreśla, że to właśnie dlatego Agarwia tak często pojawia się w późniejszej literaturze moralizującej.</w:t>
      </w:r>
    </w:p>
    <w:p>
      <w:pPr>
        <w:pStyle w:val="normal1"/>
        <w:spacing w:lineRule="auto" w:line="331" w:before="240" w:after="240"/>
        <w:rPr/>
      </w:pPr>
      <w:r>
        <w:rPr/>
        <w:t>Na sam koniec wykładu pojawia się podsumowanie, zapisane w notatkach niemal dosłownie:</w:t>
      </w:r>
    </w:p>
    <w:p>
      <w:pPr>
        <w:pStyle w:val="normal1"/>
        <w:spacing w:lineRule="auto" w:line="331" w:before="240" w:after="240"/>
        <w:ind w:hanging="0" w:left="600" w:right="600"/>
        <w:rPr/>
      </w:pPr>
      <w:r>
        <w:rPr/>
        <w:t>„</w:t>
      </w:r>
      <w:r>
        <w:rPr/>
        <w:t>Historia Merynów nie uczy nas, jak budować imperia. Uczy nas, jak kruche są więzi, które wydają się oczywiste, dopóki nie przestają działać.”</w:t>
      </w:r>
    </w:p>
    <w:p>
      <w:pPr>
        <w:pStyle w:val="normal1"/>
        <w:spacing w:lineRule="auto" w:line="331" w:before="240" w:after="240"/>
        <w:rPr/>
      </w:pPr>
      <w:r>
        <w:rPr/>
        <w:t xml:space="preserve">Profesor zaznacza, że Agarwia jest idealnym przykładem cywilizacji </w:t>
      </w:r>
      <w:r>
        <w:rPr>
          <w:b/>
          <w:bCs/>
        </w:rPr>
        <w:t>bez bohatera-założyciela i bez spektakularnego końca</w:t>
      </w:r>
      <w:r>
        <w:rPr/>
        <w:t>, co czyni ją trudną, ale niezwykle pouczającą dla historyka.</w:t>
      </w:r>
    </w:p>
    <w:p>
      <w:pPr>
        <w:pStyle w:val="normal1"/>
        <w:spacing w:lineRule="auto" w:line="331" w:before="240" w:after="240"/>
        <w:rPr/>
      </w:pPr>
      <w:r>
        <w:rPr/>
        <w:t>Wykład kończy się ciszą — brak pytań, tylko zapowiedź kolokwium i sugestia, by „czytać źródła jak ludzi, nie jak dokumenty”.</w:t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rial">
    <w:charset w:val="01"/>
    <w:family w:val="roman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Liberation Sans">
    <w:altName w:val="Arial"/>
    <w:charset w:val="01"/>
    <w:family w:val="swiss"/>
    <w:pitch w:val="variable"/>
    <w:embedRegular r:id="rId17" w:fontKey="{11014A78-CABC-4EF0-12AC-5CD89AEFDE11}"/>
    <w:embedBold r:id="rId18" w:fontKey="{12014A78-CABC-4EF0-12AC-5CD89AEFDE12}"/>
    <w:embedItalic r:id="rId19" w:fontKey="{13014A78-CABC-4EF0-12AC-5CD89AEFDE13}"/>
    <w:embedBoldItalic r:id="rId20" w:fontKey="{14014A78-CABC-4EF0-12AC-5CD89AEFDE14}"/>
  </w:font>
</w:fonts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</Pages>
  <Words>1069</Words>
  <Characters>6735</Characters>
  <CharactersWithSpaces>7786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2026-01-09T18:40:02Z</dcterms:modified>
  <cp:revision>1</cp:revision>
  <dc:subject/>
  <dc:title/>
</cp:coreProperties>
</file>