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331" w:before="360" w:after="80"/>
        <w:rPr>
          <w:b/>
          <w:bCs/>
          <w:sz w:val="34"/>
          <w:szCs w:val="34"/>
        </w:rPr>
      </w:pPr>
      <w:bookmarkStart w:id="0" w:name="_nsspfzgxd0zz"/>
      <w:bookmarkEnd w:id="0"/>
      <w:r>
        <w:rPr>
          <w:b/>
          <w:bCs/>
          <w:sz w:val="34"/>
          <w:szCs w:val="34"/>
        </w:rPr>
        <w:t>NOTATKI Z WYKŁADU – HISTORIA LUDU MERYNO W CZASACH STAROŻYTNEJ AGARWII</w:t>
      </w:r>
    </w:p>
    <w:p>
      <w:pPr>
        <w:pStyle w:val="Heading3"/>
        <w:keepNext w:val="false"/>
        <w:keepLines w:val="false"/>
        <w:spacing w:lineRule="auto" w:line="331" w:before="280" w:after="80"/>
        <w:rPr>
          <w:b/>
          <w:bCs/>
          <w:color w:val="000000"/>
          <w:sz w:val="26"/>
          <w:szCs w:val="26"/>
        </w:rPr>
      </w:pPr>
      <w:bookmarkStart w:id="1" w:name="_z8dnncq3fukt"/>
      <w:bookmarkEnd w:id="1"/>
      <w:r>
        <w:rPr>
          <w:b/>
          <w:bCs/>
          <w:color w:val="000000"/>
          <w:sz w:val="26"/>
          <w:szCs w:val="26"/>
        </w:rPr>
        <w:t>CZĘŚĆ I: Początki, migracja i formowanie się tożsamości</w:t>
      </w:r>
    </w:p>
    <w:p>
      <w:pPr>
        <w:pStyle w:val="normal1"/>
        <w:spacing w:lineRule="auto" w:line="331" w:before="240" w:after="240"/>
        <w:rPr/>
      </w:pPr>
      <w:r>
        <w:rPr/>
        <w:t xml:space="preserve">Wykład zaczyna się od zastrzeżenia metodologicznego: w przypadku Merynów wczesna historia jest rekonstrukcją opartą na późniejszych przekazach, archeologii rytualnej oraz tradycji ustnej. Nie ma jednego „momentu zerowego”, ale umownie przyjmuje się </w:t>
      </w:r>
      <w:r>
        <w:rPr>
          <w:b/>
          <w:bCs/>
        </w:rPr>
        <w:t>przejście przez Pustynię Halmar ok. 3120 r. p.n.e.</w:t>
      </w:r>
      <w:r>
        <w:rPr/>
        <w:t xml:space="preserve"> jako punkt wyjścia narracji. W źródłach pojawia się to nie jako wydarzenie stricte geograficzne, lecz raczej jako mit fundacyjny – „przejście” rozumiane także symbolicznie (koniec koczownictwa, początek pamięci zbiorowej).</w:t>
      </w:r>
    </w:p>
    <w:p>
      <w:pPr>
        <w:pStyle w:val="normal1"/>
        <w:spacing w:lineRule="auto" w:line="331" w:before="240" w:after="240"/>
        <w:rPr/>
      </w:pPr>
      <w:r>
        <w:rPr/>
        <w:t xml:space="preserve">Halmar opisywany jest jako przestrzeń graniczna: brak wody, brak cienia, „ziemia bez imion”. W Pieśniach Długiego Zmierzchu pustynia pojawia się jako miejsce, gdzie „głosy przodków milkną”, co sugeruje zerwanie z wcześniejszą tradycją. Dopiero po jej przekroczeniu pojawia się pojęcie </w:t>
      </w:r>
      <w:r>
        <w:rPr>
          <w:i/>
          <w:iCs/>
        </w:rPr>
        <w:t>rodu</w:t>
      </w:r>
      <w:r>
        <w:rPr/>
        <w:t xml:space="preserve"> w sensie znanym późniejszym Merynom.</w:t>
      </w:r>
    </w:p>
    <w:p>
      <w:pPr>
        <w:pStyle w:val="normal1"/>
        <w:spacing w:lineRule="auto" w:line="331" w:before="240" w:after="240"/>
        <w:rPr/>
      </w:pPr>
      <w:r>
        <w:rPr/>
        <w:t xml:space="preserve">Po drugiej stronie pustyni – dolina późniejszej Agarwii. Trzy rzeki (Ulmar, Seken, Taro) tworzą naturalne osie osadnictwa. W notatkach prof. zaznaczone: </w:t>
      </w:r>
      <w:r>
        <w:rPr>
          <w:b/>
          <w:bCs/>
        </w:rPr>
        <w:t>Ulmar zawsze wyróżniana, niemal personifikowana</w:t>
      </w:r>
      <w:r>
        <w:rPr/>
        <w:t>. Rzeka nie tylko jako zasób, ale jako byt pamiętający – w późniejszych tekstach „niesie imiona zmarłych”. Już tu widać zalążek sakralizacji krajobrazu.</w:t>
      </w:r>
    </w:p>
    <w:p>
      <w:pPr>
        <w:pStyle w:val="normal1"/>
        <w:spacing w:lineRule="auto" w:line="331" w:before="240" w:after="240"/>
        <w:rPr/>
      </w:pPr>
      <w:r>
        <w:rPr/>
        <w:t xml:space="preserve">Najstarsze ślady osadnictwa – prymitywne konstrukcje z czerwonej gliny. Brak kamienia, brak drewna → glina jako materiał totalny. Domy niskie, bez okien, wejście od wschodu (powiązanie z kultem światła?). Warto zapamiętać: </w:t>
      </w:r>
      <w:r>
        <w:rPr>
          <w:b/>
          <w:bCs/>
        </w:rPr>
        <w:t>czerwona glina = ziemia + krew</w:t>
      </w:r>
      <w:r>
        <w:rPr/>
        <w:t>, często powtarzany motyw symboliczny.</w:t>
      </w:r>
    </w:p>
    <w:p>
      <w:pPr>
        <w:pStyle w:val="normal1"/>
        <w:spacing w:lineRule="auto" w:line="331" w:before="240" w:after="240"/>
        <w:rPr/>
      </w:pPr>
      <w:r>
        <w:rPr/>
        <w:t xml:space="preserve">Z tego okresu pochodzi to, co archeolodzy nazwali później </w:t>
      </w:r>
      <w:r>
        <w:rPr>
          <w:b/>
          <w:bCs/>
        </w:rPr>
        <w:t>Kulturą Kamieni Mówiących</w:t>
      </w:r>
      <w:r>
        <w:rPr/>
        <w:t xml:space="preserve">. Nazwa nowożytna, ale trafna: w pobliżu wczesnych osad znajdowane są pojedyncze głazy, ustawione pionowo, pokryte rytami spiralnymi i nacięciami. Brak pisma → znaki nie są zapisem języka, raczej nośnikiem rytuału. Prof. podkreślał: </w:t>
      </w:r>
      <w:r>
        <w:rPr>
          <w:i/>
          <w:iCs/>
        </w:rPr>
        <w:t>nie czytać ich jak tekst, tylko jak performans</w:t>
      </w:r>
      <w:r>
        <w:rPr/>
        <w:t>. Kamień „mówi” tylko w trakcie obrzędu.</w:t>
      </w:r>
    </w:p>
    <w:p>
      <w:pPr>
        <w:pStyle w:val="normal1"/>
        <w:spacing w:lineRule="auto" w:line="331" w:before="240" w:after="240"/>
        <w:rPr/>
      </w:pPr>
      <w:r>
        <w:rPr/>
        <w:t xml:space="preserve">Wspólnoty z tego okresu są jeszcze silnie klanowe. Pojęcie „ludu Meryno” pojawia się dopiero retrospektywnie. Wtedy są to trzy główne skupiska rodowe, które dopiero </w:t>
      </w:r>
      <w:r>
        <w:rPr>
          <w:b/>
          <w:bCs/>
        </w:rPr>
        <w:t>w 2987 r. p.n.e. zawierają Przymierze Trzech Rzek</w:t>
      </w:r>
      <w:r>
        <w:rPr/>
        <w:t xml:space="preserve">. Data znana z późniejszych kronik, ale stale powtarzana → ważna dla tożsamości. Przymierze nie tworzy państwa, raczej wspólnotę rytualną i obronną. W notatkach zaznaczone: </w:t>
      </w:r>
      <w:r>
        <w:rPr>
          <w:i/>
          <w:iCs/>
        </w:rPr>
        <w:t>wspólne święta, wspólne pochówki elit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 xml:space="preserve">Od tego momentu zaczyna się proces różnicowania funkcji społecznych. Pojawia się zalążek </w:t>
      </w:r>
      <w:r>
        <w:rPr>
          <w:b/>
          <w:bCs/>
        </w:rPr>
        <w:t>starszyzny</w:t>
      </w:r>
      <w:r>
        <w:rPr/>
        <w:t>, ale jeszcze bez formalnej struktury. Najstarsi mężczyźni rodów + osoby uznane za „słyszące kamienie” (proto-kapłani). Ciekawe: brak wyraźnego podziału religia–polityka.</w:t>
      </w:r>
    </w:p>
    <w:p>
      <w:pPr>
        <w:pStyle w:val="normal1"/>
        <w:spacing w:lineRule="auto" w:line="331" w:before="240" w:after="240"/>
        <w:rPr/>
      </w:pPr>
      <w:r>
        <w:rPr/>
        <w:t xml:space="preserve">W okolicach XXVIII–XXVII w. p.n.e. następuje stabilizacja osadnictwa. Pojawiają się większe skupiska, magazyny zbożowe, pierwsze ślady planowania przestrzennego. Tu wykładowca wprowadza pojęcie </w:t>
      </w:r>
      <w:r>
        <w:rPr>
          <w:b/>
          <w:bCs/>
        </w:rPr>
        <w:t>Domów z Czerwonej Gliny</w:t>
      </w:r>
      <w:r>
        <w:rPr/>
        <w:t xml:space="preserve"> jako nie tylko formy architektonicznej, ale też jednostki społecznej – dom = ród = pamięć. W Pieśniach Długiego Zmierzchu „domy” płaczą, palą się, umierają.</w:t>
      </w:r>
    </w:p>
    <w:p>
      <w:pPr>
        <w:pStyle w:val="normal1"/>
        <w:spacing w:lineRule="auto" w:line="331" w:before="240" w:after="240"/>
        <w:rPr/>
      </w:pPr>
      <w:r>
        <w:rPr/>
        <w:t xml:space="preserve">Kluczowy moment: </w:t>
      </w:r>
      <w:r>
        <w:rPr>
          <w:b/>
          <w:bCs/>
        </w:rPr>
        <w:t>reformy Starszyzny Naram (ok. 2750 r. p.n.e.)</w:t>
      </w:r>
      <w:r>
        <w:rPr/>
        <w:t>. Naram nie jest królem. Raczej figurą symboliczną – „ten, który zebrał słowa”. Reformy polegały na skodyfikowaniu zwyczajów: kto może zawrzeć małżeństwo, jak rozwiązywać spory, kiedy dozwolona jest zemsta. To pierwszy moment, gdy prawo oddziela się od rytuału, choć nadal jest z nim silnie powiązane.</w:t>
      </w:r>
    </w:p>
    <w:p>
      <w:pPr>
        <w:pStyle w:val="normal1"/>
        <w:spacing w:lineRule="auto" w:line="331" w:before="240" w:after="240"/>
        <w:rPr/>
      </w:pPr>
      <w:r>
        <w:rPr/>
        <w:t xml:space="preserve">Starszyzna Naram liczyła siedem rodów (liczba powtarza się obsesyjnie w tradycji meryńskiej). Decyzje podejmowane kolegialnie, brak jednego władcy. Profesor zaznaczał: </w:t>
      </w:r>
      <w:r>
        <w:rPr>
          <w:b/>
          <w:bCs/>
        </w:rPr>
        <w:t>brak monarchii to cecha konstytutywna wczesnej Agarwii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 xml:space="preserve">Równolegle rozwija się tradycja ustna. </w:t>
      </w:r>
      <w:r>
        <w:rPr>
          <w:b/>
          <w:bCs/>
        </w:rPr>
        <w:t>Pieśni Długiego Zmierzchu</w:t>
      </w:r>
      <w:r>
        <w:rPr/>
        <w:t xml:space="preserve"> nie są jednym dziełem, ale zbiorem motywów. Opowiadają o wędrówce, o zdradach między rodami, o bogчны Bogini Selmar (choć jej kult w pełni rozwinie się później). Ważne: pieśni nie mają ustalonego tekstu – każdy wykonawca zmienia szczegóły, ale zachowuje strukturę.</w:t>
      </w:r>
    </w:p>
    <w:p>
      <w:pPr>
        <w:pStyle w:val="normal1"/>
        <w:spacing w:lineRule="auto" w:line="331" w:before="240" w:after="240"/>
        <w:rPr/>
      </w:pPr>
      <w:r>
        <w:rPr/>
        <w:t xml:space="preserve">Około </w:t>
      </w:r>
      <w:r>
        <w:rPr>
          <w:b/>
          <w:bCs/>
        </w:rPr>
        <w:t>2612 r. p.n.e.</w:t>
      </w:r>
      <w:r>
        <w:rPr/>
        <w:t xml:space="preserve"> pojawia się pierwszy monumentalny projekt ponadrodowy: </w:t>
      </w:r>
      <w:r>
        <w:rPr>
          <w:b/>
          <w:bCs/>
        </w:rPr>
        <w:t>Krąg Thes-Kaal</w:t>
      </w:r>
      <w:r>
        <w:rPr/>
        <w:t>. Lokalizacja: na lekkim wzniesieniu między trzema rzekami. Kamienie przywiezione z daleka → ogromny wysiłek logistyczny. Funkcja podwójna: kalendarz (cienie, przesilenia) oraz centrum rytualne. Od tego momentu Thes-Kaal staje się osią symbolicznej geografii Agarwii.</w:t>
      </w:r>
    </w:p>
    <w:p>
      <w:pPr>
        <w:pStyle w:val="normal1"/>
        <w:spacing w:lineRule="auto" w:line="331" w:before="240" w:after="240"/>
        <w:rPr/>
      </w:pPr>
      <w:r>
        <w:rPr/>
        <w:t xml:space="preserve">Ważna uwaga z wykładu: </w:t>
      </w:r>
      <w:r>
        <w:rPr>
          <w:b/>
          <w:bCs/>
        </w:rPr>
        <w:t>od Thes-Kaal liczy się czas</w:t>
      </w:r>
      <w:r>
        <w:rPr/>
        <w:t>. W późniejszych kronikach wydarzenia są opisywane jako „przed wzniesieniem kręgu” lub „po zamknięciu kręgu”.</w:t>
      </w:r>
    </w:p>
    <w:p>
      <w:pPr>
        <w:pStyle w:val="normal1"/>
        <w:spacing w:lineRule="auto" w:line="331" w:before="240" w:after="240"/>
        <w:rPr/>
      </w:pPr>
      <w:r>
        <w:rPr/>
        <w:t>Na tym etapie Merynowie nie są jeszcze imperium ani nawet jednolitym państwem, ale posiadają już:</w:t>
        <w:br/>
        <w:t>– wspólną mitologię</w:t>
        <w:br/>
        <w:t>– wspólne rytuały</w:t>
        <w:br/>
        <w:t>– wspólne miejsca pamięci</w:t>
        <w:br/>
        <w:t>– zalążki prawa</w:t>
      </w:r>
    </w:p>
    <w:p>
      <w:pPr>
        <w:pStyle w:val="normal1"/>
        <w:spacing w:lineRule="auto" w:line="331" w:before="240" w:after="240"/>
        <w:rPr/>
      </w:pPr>
      <w:r>
        <w:rPr/>
        <w:t>Profesor podkreślał, że to właśnie ta „miękka spójność” pozwoli im przetrwać późniejsze konflikty.</w:t>
      </w:r>
    </w:p>
    <w:p>
      <w:pPr>
        <w:pStyle w:val="normal1"/>
        <w:spacing w:lineRule="auto" w:line="331" w:before="240" w:after="240"/>
        <w:rPr/>
      </w:pPr>
      <w:r>
        <w:rPr/>
        <w:t xml:space="preserve">Na końcu tej części wykładu pojawia się zapowiedź nadchodzących napięć: wzrost populacji, presja na zasoby, pierwsze kontakty z ludami pustynnymi. Pada termin </w:t>
      </w:r>
      <w:r>
        <w:rPr>
          <w:b/>
          <w:bCs/>
        </w:rPr>
        <w:t>„czas przed pyłem”</w:t>
      </w:r>
      <w:r>
        <w:rPr/>
        <w:t xml:space="preserve"> – określenie późniejszych kronikarzy na okres względnej harmonii.</w:t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pacing w:lineRule="auto" w:line="331" w:before="280" w:after="80"/>
        <w:rPr>
          <w:b/>
          <w:bCs/>
          <w:color w:val="000000"/>
          <w:sz w:val="26"/>
          <w:szCs w:val="26"/>
        </w:rPr>
      </w:pPr>
      <w:bookmarkStart w:id="2" w:name="_vpnbzlh5lajf"/>
      <w:bookmarkEnd w:id="2"/>
      <w:r>
        <w:rPr>
          <w:b/>
          <w:bCs/>
          <w:color w:val="000000"/>
          <w:sz w:val="26"/>
          <w:szCs w:val="26"/>
        </w:rPr>
        <w:t>CZĘŚĆ II: Wojny Pyłowe, religia i Złoty Wiek Agarwii</w:t>
      </w:r>
    </w:p>
    <w:p>
      <w:pPr>
        <w:pStyle w:val="normal1"/>
        <w:spacing w:lineRule="auto" w:line="331" w:before="240" w:after="240"/>
        <w:rPr/>
      </w:pPr>
      <w:r>
        <w:rPr/>
        <w:t>Na początku tej części wykładu profesor wraca do końca „czasu przed pyłem”. Podkreśla, że określenie to pojawia się dopiero w źródłach późniejszych i ma charakter idealizujący. Już w XXV w. p.n.e. widać napięcia: zmniejszające się zasoby wody, nieregularne wylewy rzek, rosnącą liczbę osad na obrzeżach doliny. Kontakty z ludami pustynnymi początkowo handlowe – wymiana soli, suszonego mięsa, obsydianu – stopniowo stają się wrogie.</w:t>
      </w:r>
    </w:p>
    <w:p>
      <w:pPr>
        <w:pStyle w:val="normal1"/>
        <w:spacing w:lineRule="auto" w:line="331" w:before="240" w:after="240"/>
        <w:rPr/>
      </w:pPr>
      <w:r>
        <w:rPr/>
        <w:t xml:space="preserve">W tym kontekście pojawiają się </w:t>
      </w:r>
      <w:r>
        <w:rPr>
          <w:b/>
          <w:bCs/>
        </w:rPr>
        <w:t>Wojny Pyłowe</w:t>
      </w:r>
      <w:r>
        <w:rPr/>
        <w:t xml:space="preserve">, datowane umownie na </w:t>
      </w:r>
      <w:r>
        <w:rPr>
          <w:b/>
          <w:bCs/>
        </w:rPr>
        <w:t>2450–2410 r. p.n.e.</w:t>
      </w:r>
      <w:r>
        <w:rPr/>
        <w:t>. Profesor zaznaczał, że nie była to jedna wojna, lecz seria krótkich, brutalnych starć, rajdów i oblężeń. Nazwa pochodzi z późniejszych pieśni – „pył” jako symbol pustyni, ale też zatarcia pamięci. Wiele bitew nie ma nazw ani dokładnych lokalizacji.</w:t>
      </w:r>
    </w:p>
    <w:p>
      <w:pPr>
        <w:pStyle w:val="normal1"/>
        <w:spacing w:lineRule="auto" w:line="331" w:before="240" w:after="240"/>
        <w:rPr/>
      </w:pPr>
      <w:r>
        <w:rPr/>
        <w:t xml:space="preserve">Charakterystyczne dla tego okresu jest wykształcenie się nowej warstwy społecznej: wojowników zawodowych. Wcześniej walczył każdy dorosły mężczyzna; teraz pojawia się grupa wyspecjalizowana, utrzymywana przez wspólnotę. Z nią związana jest formacja znana jako </w:t>
      </w:r>
      <w:r>
        <w:rPr>
          <w:b/>
          <w:bCs/>
        </w:rPr>
        <w:t>Wojownicy z Popiołu</w:t>
      </w:r>
      <w:r>
        <w:rPr/>
        <w:t xml:space="preserve">. W notatkach prof.: </w:t>
      </w:r>
      <w:r>
        <w:rPr>
          <w:i/>
          <w:iCs/>
        </w:rPr>
        <w:t>nie zakon, nie kasta, raczej bractwo</w:t>
      </w:r>
      <w:r>
        <w:rPr/>
        <w:t>. Ich pancerze miały być posypywane popiołem z ognisk rytualnych – symbol zerwania z domem, gotowości na śmierć.</w:t>
      </w:r>
    </w:p>
    <w:p>
      <w:pPr>
        <w:pStyle w:val="normal1"/>
        <w:spacing w:lineRule="auto" w:line="331" w:before="240" w:after="240"/>
        <w:rPr/>
      </w:pPr>
      <w:r>
        <w:rPr/>
        <w:t>Ciekawe, że Wojownicy z Popiołu są jednocześnie silnie związani z religią. Przed bitwą nocują przy kamieniach rytualnych, składają ofiary bezkrwawe (ziarna, popiół, tkaniny). To sugeruje, że wojna była postrzegana nie tylko jako konflikt materialny, ale jako zaburzenie kosmicznej równowagi.</w:t>
      </w:r>
    </w:p>
    <w:p>
      <w:pPr>
        <w:pStyle w:val="normal1"/>
        <w:spacing w:lineRule="auto" w:line="331" w:before="240" w:after="240"/>
        <w:rPr/>
      </w:pPr>
      <w:r>
        <w:rPr/>
        <w:t xml:space="preserve">Najważniejszym momentem kończącym ten okres jest </w:t>
      </w:r>
      <w:r>
        <w:rPr>
          <w:b/>
          <w:bCs/>
        </w:rPr>
        <w:t>Pokój nad Wyschniętym Jeziorem (2333 r. p.n.e.)</w:t>
      </w:r>
      <w:r>
        <w:rPr/>
        <w:t>. Samo jezioro Kamar było już wtedy suche – co profesor interpretował jako wymowny symbol: traktat zawarty nad miejscem utraty zasobu. Warunki pokoju nie są znane w szczegółach, ale znikają wzmianki o dużych najazdach pustynnych. Część ludów zostaje wchłonięta przez Agarwię jako pół-nomadyczni sojusznicy.</w:t>
      </w:r>
    </w:p>
    <w:p>
      <w:pPr>
        <w:pStyle w:val="normal1"/>
        <w:spacing w:lineRule="auto" w:line="331" w:before="240" w:after="240"/>
        <w:rPr/>
      </w:pPr>
      <w:r>
        <w:rPr/>
        <w:t xml:space="preserve">Po wojnach następuje gwałtowna transformacja kulturowa. Profesor używa tu terminu </w:t>
      </w:r>
      <w:r>
        <w:rPr>
          <w:b/>
          <w:bCs/>
        </w:rPr>
        <w:t>„rekonsolidacja”</w:t>
      </w:r>
      <w:r>
        <w:rPr/>
        <w:t xml:space="preserve">. Odbudowa osad, rozbudowa systemów irygacyjnych, centralizacja rytuałów. Właśnie wtedy zaczyna się </w:t>
      </w:r>
      <w:r>
        <w:rPr>
          <w:b/>
          <w:bCs/>
        </w:rPr>
        <w:t>Złoty Wiek Agarwii (ok. 2300–2100 p.n.e.)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>Ten okres charakteryzuje się rozkwitem niemal wszystkich dziedzin życia. Rolnictwo staje się bardziej wydajne, pojawiają się nadwyżki. Handel wychodzi poza region – ślady meryńskich wyrobów znajdowane są setki kilometrów od doliny. Keth-Arun zaczyna wyrastać na główne centrum wymiany (choć formalnie miastem stanie się później).</w:t>
      </w:r>
    </w:p>
    <w:p>
      <w:pPr>
        <w:pStyle w:val="normal1"/>
        <w:spacing w:lineRule="auto" w:line="331" w:before="240" w:after="240"/>
        <w:rPr/>
      </w:pPr>
      <w:r>
        <w:rPr/>
        <w:t xml:space="preserve">Bardzo ważny moment: rozwój pisma. </w:t>
      </w:r>
      <w:r>
        <w:rPr>
          <w:b/>
          <w:bCs/>
        </w:rPr>
        <w:t>Pismo Złamanego Ziarna</w:t>
      </w:r>
      <w:r>
        <w:rPr/>
        <w:t xml:space="preserve"> nie powstaje jako narzędzie literackie, lecz administracyjne. Znaki przypominają połamane kłosy, linie podziału pól, znaki miar. Profesor zaznaczał, że pismo jest „ciężkie” – trudne do szybkiego zapisu, co ogranicza liczbę piśmiennych. Pismo = władza.</w:t>
      </w:r>
    </w:p>
    <w:p>
      <w:pPr>
        <w:pStyle w:val="normal1"/>
        <w:spacing w:lineRule="auto" w:line="331" w:before="240" w:after="240"/>
        <w:rPr/>
      </w:pPr>
      <w:r>
        <w:rPr/>
        <w:t xml:space="preserve">Z pisma korzystają głównie kapłani oraz urzędnicy przy świątyniach. Właśnie w tym okresie instytucjonalizuje się religia. Centralną postacią staje się </w:t>
      </w:r>
      <w:r>
        <w:rPr>
          <w:b/>
          <w:bCs/>
        </w:rPr>
        <w:t>bogini Selmar</w:t>
      </w:r>
      <w:r>
        <w:rPr/>
        <w:t>. Wcześniej pojawiała się w pieśniach jako postać opiekuńcza, teraz otrzymuje świątynie, kapłanów, ustalone święta. Selmar łączona jest z urodzajem, cyklem roku, ale też z losem dzieci – wysoką śmiertelnością niemowląt tłumaczono jej gniewem lub milczeniem.</w:t>
      </w:r>
    </w:p>
    <w:p>
      <w:pPr>
        <w:pStyle w:val="normal1"/>
        <w:spacing w:lineRule="auto" w:line="331" w:before="240" w:after="240"/>
        <w:rPr/>
      </w:pPr>
      <w:r>
        <w:rPr/>
        <w:t xml:space="preserve">Budowane są </w:t>
      </w:r>
      <w:r>
        <w:rPr>
          <w:b/>
          <w:bCs/>
        </w:rPr>
        <w:t>Świątynie Wiatru</w:t>
      </w:r>
      <w:r>
        <w:rPr/>
        <w:t xml:space="preserve"> – konstrukcje otwarte, z wysokimi kolumnami, bez dachów. Ich funkcja była zarówno rytualna, jak i praktyczna: obserwacja pogody, przewidywanie burz piaskowych. Kapłani Białych Szat, którzy nimi zarządzali, zyskują ogromny autorytet. Białe szaty = czystość, oderwanie od ziemi, przeciwieństwo czerwonej gliny domów.</w:t>
      </w:r>
    </w:p>
    <w:p>
      <w:pPr>
        <w:pStyle w:val="normal1"/>
        <w:spacing w:lineRule="auto" w:line="331" w:before="240" w:after="240"/>
        <w:rPr/>
      </w:pPr>
      <w:r>
        <w:rPr/>
        <w:t xml:space="preserve">W </w:t>
      </w:r>
      <w:r>
        <w:rPr>
          <w:b/>
          <w:bCs/>
        </w:rPr>
        <w:t>2198 r. p.n.e.</w:t>
      </w:r>
      <w:r>
        <w:rPr/>
        <w:t xml:space="preserve"> sporządzony zostaje </w:t>
      </w:r>
      <w:r>
        <w:rPr>
          <w:b/>
          <w:bCs/>
        </w:rPr>
        <w:t>Spis Ludności Klanowej</w:t>
      </w:r>
      <w:r>
        <w:rPr/>
        <w:t>. Profesor mówił o nim długo jako o „momencie, w którym państwo zaczyna liczyć ludzi”. Spis obejmuje nie tylko liczbę osób, ale ich przynależność rodową, zobowiązania wobec świątyń, udział w pracach irygacyjnych. Od tego momentu jednostka istnieje w dokumentach, nie tylko w pamięci wspólnoty.</w:t>
      </w:r>
    </w:p>
    <w:p>
      <w:pPr>
        <w:pStyle w:val="normal1"/>
        <w:spacing w:lineRule="auto" w:line="331" w:before="240" w:after="240"/>
        <w:rPr/>
      </w:pPr>
      <w:r>
        <w:rPr/>
        <w:t>Jednocześnie narastają napięcia między kapłanami a świecką starszyzną. Kapłani kontrolują kalendarz, pismo i rytuał, starszyzna – ziemię i wojsko. Ten konflikt narasta powoli i eksploduje dopiero później.</w:t>
      </w:r>
    </w:p>
    <w:p>
      <w:pPr>
        <w:pStyle w:val="normal1"/>
        <w:spacing w:lineRule="auto" w:line="331" w:before="240" w:after="240"/>
        <w:rPr/>
      </w:pPr>
      <w:r>
        <w:rPr/>
        <w:t>Profesor podkreślał, że Złoty Wiek nie był okresem idylli, lecz równowagi. System działa, dopóki wszystkie elementy pozostają w napięciu, ale żadna grupa nie dominuje absolutnie.</w:t>
      </w:r>
    </w:p>
    <w:p>
      <w:pPr>
        <w:pStyle w:val="normal1"/>
        <w:spacing w:lineRule="auto" w:line="331" w:before="240" w:after="240"/>
        <w:rPr/>
      </w:pPr>
      <w:r>
        <w:rPr/>
        <w:t>Pod koniec Złotego Wieku pojawiają się pierwsze niepokojące znaki: nieregularności w kalendarzu, trudności w interpretacji znaków, relacje o „błędnych wiatrach”. To prowadzi do wydarzenia, które wstrząśnie całym systemem wierzeń.</w:t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pacing w:lineRule="auto" w:line="331" w:before="280" w:after="80"/>
        <w:rPr>
          <w:b/>
          <w:bCs/>
          <w:color w:val="000000"/>
          <w:sz w:val="26"/>
          <w:szCs w:val="26"/>
        </w:rPr>
      </w:pPr>
      <w:bookmarkStart w:id="3" w:name="_v62je3olszgw"/>
      <w:bookmarkEnd w:id="3"/>
      <w:r>
        <w:rPr>
          <w:b/>
          <w:bCs/>
          <w:color w:val="000000"/>
          <w:sz w:val="26"/>
          <w:szCs w:val="26"/>
        </w:rPr>
        <w:t>CZĘŚĆ III: Kryzys religijny, bunt miast i rozpad starego porządku</w:t>
      </w:r>
    </w:p>
    <w:p>
      <w:pPr>
        <w:pStyle w:val="normal1"/>
        <w:spacing w:lineRule="auto" w:line="331" w:before="240" w:after="240"/>
        <w:rPr/>
      </w:pPr>
      <w:r>
        <w:rPr/>
        <w:t xml:space="preserve">Profesor zaczyna tę część od zaznaczenia, że </w:t>
      </w:r>
      <w:r>
        <w:rPr>
          <w:b/>
          <w:bCs/>
        </w:rPr>
        <w:t>Zaćmienie Trzech Słońc (2055 r. p.n.e.)</w:t>
      </w:r>
      <w:r>
        <w:rPr/>
        <w:t xml:space="preserve"> jest jednym z nielicznych wydarzeń, które pojawiają się we wszystkich znanych tradycjach meryńskich — zarówno w kronikach świątynnych, jak i w pieśniach ludowych. Co istotne: opisy są sprzeczne co do szczegółów, ale zgodne co do emocji. Strach, dezorientacja, poczucie porzucenia.</w:t>
      </w:r>
    </w:p>
    <w:p>
      <w:pPr>
        <w:pStyle w:val="normal1"/>
        <w:spacing w:lineRule="auto" w:line="331" w:before="240" w:after="240"/>
        <w:rPr/>
      </w:pPr>
      <w:r>
        <w:rPr/>
        <w:t xml:space="preserve">Nie wiadomo dokładnie, czym było „Trzy Słońca”. Profesor podkreśla, żeby </w:t>
      </w:r>
      <w:r>
        <w:rPr>
          <w:b/>
          <w:bCs/>
        </w:rPr>
        <w:t>nie czytać tego dosłownie</w:t>
      </w:r>
      <w:r>
        <w:rPr/>
        <w:t xml:space="preserve">. Możliwe interpretacje: rzadkie zjawisko astronomiczne (np. załamanie światła, pył w atmosferze), seria zaćmień w krótkim czasie albo po prostu metafora całkowitego zaburzenia porządku kosmicznego. Dla Merynów istotne było nie to, </w:t>
      </w:r>
      <w:r>
        <w:rPr>
          <w:i/>
          <w:iCs/>
        </w:rPr>
        <w:t>co</w:t>
      </w:r>
      <w:r>
        <w:rPr/>
        <w:t xml:space="preserve"> się wydarzyło, ale że </w:t>
      </w:r>
      <w:r>
        <w:rPr>
          <w:b/>
          <w:bCs/>
        </w:rPr>
        <w:t>kapłani nie potrafili tego przewidzieć ani wyjaśnić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 xml:space="preserve">Tu zaczyna się tzw. </w:t>
      </w:r>
      <w:r>
        <w:rPr>
          <w:b/>
          <w:bCs/>
        </w:rPr>
        <w:t>Czas Ciszy Świątyń</w:t>
      </w:r>
      <w:r>
        <w:rPr/>
        <w:t xml:space="preserve">. Przez wiele miesięcy (a w niektórych regionach lat) rytuały zostają ograniczone. Kapłani Białych Szat przestają publicznie interpretować znaki wiatru. Nie ogłaszają kalendarza świąt. W notatkach prof.: </w:t>
      </w:r>
      <w:r>
        <w:rPr>
          <w:i/>
          <w:iCs/>
        </w:rPr>
        <w:t>milczenie jako strategia obronna, która obróciła się przeciw nim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>W społeczeństwie, które opierało swoją stabilność na rytmie obrzędów, cisza jest katastrofą. Rolnicy nie wiedzą, kiedy siać. Rzemieślnicy nie wiedzą, kiedy wolno im pracować w dniach świętych. Pojawiają się lokalne interpretacje, prywatne rytuały, „fałszywi kapłani”. Jedność religijna zaczyna się kruszyć.</w:t>
      </w:r>
    </w:p>
    <w:p>
      <w:pPr>
        <w:pStyle w:val="normal1"/>
        <w:spacing w:lineRule="auto" w:line="331" w:before="240" w:after="240"/>
        <w:rPr/>
      </w:pPr>
      <w:r>
        <w:rPr/>
        <w:t>Jednocześnie miasta — które w Złotym Wieku zyskały na znaczeniu gospodarczym — zaczynają kwestionować sens utrzymywania rozbudowanej hierarchii świątynnej. Właśnie wtedy pojawiają się pierwsze zapisy krytyczne wobec kapłanów, zachowane fragmentarycznie w Piśmie Złamanego Ziarna. Ton tych zapisów jest wyjątkowo świecki: pytania o podatki, o magazyny zbożowe, o odpowiedzialność za błędne prognozy.</w:t>
      </w:r>
    </w:p>
    <w:p>
      <w:pPr>
        <w:pStyle w:val="normal1"/>
        <w:spacing w:lineRule="auto" w:line="331" w:before="240" w:after="240"/>
        <w:rPr/>
      </w:pPr>
      <w:r>
        <w:rPr/>
        <w:t xml:space="preserve">Kulminacją tego procesu jest </w:t>
      </w:r>
      <w:r>
        <w:rPr>
          <w:b/>
          <w:bCs/>
        </w:rPr>
        <w:t>Powstanie Rzemieślników (ok. 1980 r. p.n.e.)</w:t>
      </w:r>
      <w:r>
        <w:rPr/>
        <w:t>. Profesor zaznaczał, że nie była to rewolucja w nowoczesnym sensie, lecz seria strajków, odmów pracy i zamieszek w miastach. Rzemieślnicy kontrolowali produkcję narzędzi, ceramiki, części systemów irygacyjnych — ich protest szybko sparaliżował funkcjonowanie regionu.</w:t>
      </w:r>
    </w:p>
    <w:p>
      <w:pPr>
        <w:pStyle w:val="normal1"/>
        <w:spacing w:lineRule="auto" w:line="331" w:before="240" w:after="240"/>
        <w:rPr/>
      </w:pPr>
      <w:r>
        <w:rPr/>
        <w:t xml:space="preserve">Z tego kryzysu wyłania się nowa forma władzy: </w:t>
      </w:r>
      <w:r>
        <w:rPr>
          <w:b/>
          <w:bCs/>
        </w:rPr>
        <w:t>Rada Dziewięciu Miast</w:t>
      </w:r>
      <w:r>
        <w:rPr/>
        <w:t xml:space="preserve">. Nie zastępuje ona ani starszyzny, ani kapłanów, ale staje się trzecią siłą. Każde z dziewięciu największych miast wysyła delegatów (zazwyczaj starszych cechów). Władza rady jest praktyczna: zarządzanie zapasami, handlem, naprawą kanałów. To pierwszy moment w historii Agarwii, gdy </w:t>
      </w:r>
      <w:r>
        <w:rPr>
          <w:b/>
          <w:bCs/>
        </w:rPr>
        <w:t>kompetencja techniczna staje się źródłem autorytetu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 xml:space="preserve">Miasta zaczynają się wyraźnie różnicować. Najważniejsze z nich — </w:t>
      </w:r>
      <w:r>
        <w:rPr>
          <w:b/>
          <w:bCs/>
        </w:rPr>
        <w:t>Keth-Arun</w:t>
      </w:r>
      <w:r>
        <w:rPr/>
        <w:t xml:space="preserve"> — wyrasta na centralny węzeł handlowy. W notatkach: </w:t>
      </w:r>
      <w:r>
        <w:rPr>
          <w:i/>
          <w:iCs/>
        </w:rPr>
        <w:t>miasto bez świątyni centralnej</w:t>
      </w:r>
      <w:r>
        <w:rPr/>
        <w:t>. To bardzo istotne. Keth-Arun świadomie ogranicza obecność kapłanów, stawiając na targowiska, magazyny, place zgromadzeń. Przestrzeń miejska zmienia się: mniej rytuału, więcej funkcji.</w:t>
      </w:r>
    </w:p>
    <w:p>
      <w:pPr>
        <w:pStyle w:val="normal1"/>
        <w:spacing w:lineRule="auto" w:line="331" w:before="240" w:after="240"/>
        <w:rPr/>
      </w:pPr>
      <w:r>
        <w:rPr/>
        <w:t>Religia Selmar nie znika, ale ulega transformacji. Bogini przestaje być jedynym gwarantem porządku. Pojawiają się lokalne interpretacje, nowe przydomki Selmar, a nawet konkurencyjne bóstwa opiekuńcze miast. Kapłani Białych Szat tracą monopol, choć nadal mają wpływy na prowincji.</w:t>
      </w:r>
    </w:p>
    <w:p>
      <w:pPr>
        <w:pStyle w:val="normal1"/>
        <w:spacing w:lineRule="auto" w:line="331" w:before="240" w:after="240"/>
        <w:rPr/>
      </w:pPr>
      <w:r>
        <w:rPr/>
        <w:t xml:space="preserve">Profesor dużo mówił o tym okresie jako o czasie </w:t>
      </w:r>
      <w:r>
        <w:rPr>
          <w:b/>
          <w:bCs/>
        </w:rPr>
        <w:t>fragmentaryzacji pamięci</w:t>
      </w:r>
      <w:r>
        <w:rPr/>
        <w:t>. Brakuje jednej narracji. Pieśni Długiego Zmierzchu są przepisywane, skracane, lokalnie modyfikowane. Pismo Złamanego Ziarna nadal istnieje, ale używane jest coraz bardziej pragmatycznie — listy długów, kontrakty, spisy magazynowe.</w:t>
      </w:r>
    </w:p>
    <w:p>
      <w:pPr>
        <w:pStyle w:val="normal1"/>
        <w:spacing w:lineRule="auto" w:line="331" w:before="240" w:after="240"/>
        <w:rPr/>
      </w:pPr>
      <w:r>
        <w:rPr/>
        <w:t>W tle narasta kolejne zagrożenie: relacje o dziwnych ruchach ludów na zachodzie. Kupcy przynoszą wieści o „ziemiach spowitych mgłą”, o osadach porzuconych bez walki. Profesor zaznacza, że te relacje są początkowo ignorowane — Agarwia jest zajęta własnymi problemami.</w:t>
      </w:r>
    </w:p>
    <w:p>
      <w:pPr>
        <w:pStyle w:val="normal1"/>
        <w:spacing w:lineRule="auto" w:line="331" w:before="240" w:after="240"/>
        <w:rPr/>
      </w:pPr>
      <w:r>
        <w:rPr/>
        <w:t xml:space="preserve">Na końcu tej części wykładu pojawia się ważna teza: </w:t>
      </w:r>
      <w:r>
        <w:rPr>
          <w:b/>
          <w:bCs/>
        </w:rPr>
        <w:t>to nie najazd z zewnątrz zniszczył Agarwię, lecz wcześniejsza utrata wspólnego języka symbolicznego</w:t>
      </w:r>
      <w:r>
        <w:rPr/>
        <w:t>. Gdy nadchodzi kolejny kryzys, społeczeństwo nie potrafi już reagować jako całość.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1836</Words>
  <Characters>11797</Characters>
  <CharactersWithSpaces>13614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2026-01-09T18:39:40Z</dcterms:modified>
  <cp:revision>1</cp:revision>
  <dc:subject/>
  <dc:title/>
</cp:coreProperties>
</file>