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ind w:left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Rule="auto"/>
        <w:ind w:left="720"/>
        <w:rPr/>
      </w:pPr>
      <w:r w:rsidDel="00000000" w:rsidR="00000000" w:rsidRPr="00000000">
        <w:rPr>
          <w:b w:val="1"/>
          <w:rtl w:val="0"/>
        </w:rPr>
        <w:t xml:space="preserve">Teminiai egzamino klausimai </w:t>
      </w:r>
      <w:r w:rsidDel="00000000" w:rsidR="00000000" w:rsidRPr="00000000">
        <w:rPr>
          <w:i w:val="1"/>
          <w:rtl w:val="0"/>
        </w:rPr>
        <w:t xml:space="preserve">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Uždavinys </w:t>
      </w:r>
      <w:r w:rsidDel="00000000" w:rsidR="00000000" w:rsidRPr="00000000">
        <w:rPr>
          <w:rtl w:val="0"/>
        </w:rPr>
        <w:t xml:space="preserve">-  geometrinės transformacijos plokštumoje.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Vaizdo formavimo principai rastriniuose ir vektoriniuose vaizduokliuose.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Rastiniai: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23037" cy="360526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3993" l="28845" r="13782" t="14435"/>
                    <a:stretch>
                      <a:fillRect/>
                    </a:stretch>
                  </pic:blipFill>
                  <pic:spPr>
                    <a:xfrm>
                      <a:off x="0" y="0"/>
                      <a:ext cx="5423037" cy="360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after="0" w:lineRule="auto"/>
        <w:ind w:left="360"/>
        <w:rPr/>
      </w:pPr>
      <w:r w:rsidDel="00000000" w:rsidR="00000000" w:rsidRPr="00000000">
        <w:rPr>
          <w:rtl w:val="0"/>
        </w:rPr>
        <w:t xml:space="preserve">Vektoriniai: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Vaizdas saugomas kaip kreivių rinkinys. Kiekvienai kreivei saugomos pradinės ir galinės koordinatės, palinkimo kampas, sujungimo linijo kreivumas ir spalva.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Praktiškai neįmanoma saugoti pustoninius (įvairiaspalvius) vaizdus, fotografijas. Vaizdas turi būti sudarytas iš primityvų su aiškiais kontūrais.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Vaizdai išvedami ilgiau nei taškinėje grafikoje. Išvedimas vyksta taškais, todėl reikalingos specialios perskaičiavimo į taškus procedūros.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Vaizdo saugoti reikia nedaug atminties. Atminties kiekis nepriklauso nuo vaizdo matmenų, nes saugoti reikia tik primityvų galinių ir tarpinių taškų koordinates ir atkarpų ilgius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Vaizdus lengva transformuoti (didinti, mažinti, pasukti ir kt.)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Vaizdas sudarytas iš aiškių figūrų (primityvų): stačiakampių, elipsių, teksto, linijų ir kt.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Brezenheimo rastrizavimo algoritmas atkarpai sudaryti (</w:t>
      </w:r>
      <w:r w:rsidDel="00000000" w:rsidR="00000000" w:rsidRPr="00000000">
        <w:rPr>
          <w:b w:val="1"/>
          <w:i w:val="1"/>
          <w:rtl w:val="0"/>
        </w:rPr>
        <w:t xml:space="preserve">išvedimas</w:t>
      </w:r>
      <w:r w:rsidDel="00000000" w:rsidR="00000000" w:rsidRPr="00000000">
        <w:rPr>
          <w:b w:val="1"/>
          <w:rtl w:val="0"/>
        </w:rPr>
        <w:t xml:space="preserve">).</w:t>
      </w:r>
      <w:r w:rsidDel="00000000" w:rsidR="00000000" w:rsidRPr="00000000">
        <w:rPr>
          <w:rtl w:val="0"/>
        </w:rPr>
        <w:br w:type="textWrapping"/>
        <w:t xml:space="preserve">11 Paskaita 46-69 skaidres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Vidurio taško rastrizavimo algoritmas apskritimui sudaryti (</w:t>
      </w:r>
      <w:r w:rsidDel="00000000" w:rsidR="00000000" w:rsidRPr="00000000">
        <w:rPr>
          <w:b w:val="1"/>
          <w:i w:val="1"/>
          <w:rtl w:val="0"/>
        </w:rPr>
        <w:t xml:space="preserve">išvedimas</w:t>
      </w:r>
      <w:r w:rsidDel="00000000" w:rsidR="00000000" w:rsidRPr="00000000">
        <w:rPr>
          <w:b w:val="1"/>
          <w:rtl w:val="0"/>
        </w:rPr>
        <w:t xml:space="preserve">).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2628900" cy="4857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11 paskaita 97-111 skaidres</w:t>
      </w:r>
    </w:p>
    <w:p w:rsidR="00000000" w:rsidDel="00000000" w:rsidP="00000000" w:rsidRDefault="00000000" w:rsidRPr="00000000" w14:paraId="00000010">
      <w:pPr>
        <w:spacing w:after="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Daugiakampių užpildymo metodai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Užliejimo: a)skleidžiant bangą, kai užpildymas pradedamas nuo daugiakampio vidinio taško iki kontūro ribos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b)skleidžiant kryptinį spindulį iki kontūro ribos, kai užpildymas pradedamas nuo daugiakampio vidinio taško iki kontūro ribos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Eilučių skenavimo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Vaizdo transformavimas tarp langų (</w:t>
      </w:r>
      <w:r w:rsidDel="00000000" w:rsidR="00000000" w:rsidRPr="00000000">
        <w:rPr>
          <w:b w:val="1"/>
          <w:i w:val="1"/>
          <w:rtl w:val="0"/>
        </w:rPr>
        <w:t xml:space="preserve">išvedimas</w:t>
      </w:r>
      <w:r w:rsidDel="00000000" w:rsidR="00000000" w:rsidRPr="00000000">
        <w:rPr>
          <w:b w:val="1"/>
          <w:rtl w:val="0"/>
        </w:rPr>
        <w:t xml:space="preserve">).]</w:t>
        <w:br w:type="textWrapping"/>
      </w:r>
      <w:r w:rsidDel="00000000" w:rsidR="00000000" w:rsidRPr="00000000">
        <w:rPr>
          <w:rtl w:val="0"/>
        </w:rPr>
        <w:br w:type="textWrapping"/>
        <w:t xml:space="preserve">7-8 Skaidres: 153-162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Atkarpų atkirtimo algoritmai: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Cohen-Sutherland</w:t>
      </w:r>
      <w:r w:rsidDel="00000000" w:rsidR="00000000" w:rsidRPr="00000000">
        <w:rPr>
          <w:rtl w:val="0"/>
        </w:rPr>
        <w:t xml:space="preserve">;</w:t>
        <w:br w:type="textWrapping"/>
        <w:t xml:space="preserve">Vidurio taško;</w:t>
        <w:br w:type="textWrapping"/>
      </w:r>
      <w:r w:rsidDel="00000000" w:rsidR="00000000" w:rsidRPr="00000000">
        <w:rPr>
          <w:i w:val="1"/>
          <w:rtl w:val="0"/>
        </w:rPr>
        <w:t xml:space="preserve">Cyrus-Beck;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Liang-Barsky</w:t>
      </w:r>
      <w:r w:rsidDel="00000000" w:rsidR="00000000" w:rsidRPr="00000000">
        <w:rPr>
          <w:rtl w:val="0"/>
        </w:rPr>
        <w:t xml:space="preserve">;</w:t>
        <w:br w:type="textWrapping"/>
      </w:r>
      <w:r w:rsidDel="00000000" w:rsidR="00000000" w:rsidRPr="00000000">
        <w:rPr>
          <w:i w:val="1"/>
          <w:rtl w:val="0"/>
        </w:rPr>
        <w:t xml:space="preserve">Nicholl-Lee-Nicholl</w:t>
      </w:r>
      <w:r w:rsidDel="00000000" w:rsidR="00000000" w:rsidRPr="00000000">
        <w:rPr>
          <w:rtl w:val="0"/>
        </w:rPr>
        <w:t xml:space="preserve">.</w:t>
        <w:br w:type="textWrapping"/>
        <w:t xml:space="preserve">12_paskaita: 22-...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Daugiakampių atkirtimo algoritmai:</w:t>
      </w:r>
      <w:r w:rsidDel="00000000" w:rsidR="00000000" w:rsidRPr="00000000">
        <w:rPr>
          <w:rtl w:val="0"/>
        </w:rPr>
        <w:br w:type="textWrapping"/>
        <w:t xml:space="preserve">atkarpų atkirtimo;</w:t>
        <w:br w:type="textWrapping"/>
      </w:r>
      <w:r w:rsidDel="00000000" w:rsidR="00000000" w:rsidRPr="00000000">
        <w:rPr>
          <w:i w:val="1"/>
          <w:rtl w:val="0"/>
        </w:rPr>
        <w:t xml:space="preserve">Sutherland-Hodgeman;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Weiler-Atherton.</w:t>
      </w:r>
      <w:r w:rsidDel="00000000" w:rsidR="00000000" w:rsidRPr="00000000">
        <w:rPr>
          <w:rtl w:val="0"/>
        </w:rPr>
        <w:br w:type="textWrapping"/>
        <w:t xml:space="preserve">12_paskaita: 53-...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Plokščiųjų geometrinių projekcijų klasifikacija.</w:t>
        <w:br w:type="textWrapping"/>
      </w:r>
      <w:r w:rsidDel="00000000" w:rsidR="00000000" w:rsidRPr="00000000">
        <w:rPr/>
        <w:drawing>
          <wp:inline distB="0" distT="0" distL="0" distR="0">
            <wp:extent cx="5943600" cy="47263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720"/>
        <w:rPr>
          <w:b w:val="1"/>
        </w:rPr>
      </w:pPr>
      <w:r w:rsidDel="00000000" w:rsidR="00000000" w:rsidRPr="00000000">
        <w:rPr/>
        <w:drawing>
          <wp:inline distB="0" distT="0" distL="0" distR="0">
            <wp:extent cx="5943600" cy="6307455"/>
            <wp:effectExtent b="0" l="0" r="0" t="0"/>
            <wp:docPr descr="8_1" id="7" name="image11.png"/>
            <a:graphic>
              <a:graphicData uri="http://schemas.openxmlformats.org/drawingml/2006/picture">
                <pic:pic>
                  <pic:nvPicPr>
                    <pic:cNvPr descr="8_1" id="0" name="image11.png"/>
                    <pic:cNvPicPr preferRelativeResize="0"/>
                  </pic:nvPicPr>
                  <pic:blipFill>
                    <a:blip r:embed="rId9"/>
                    <a:srcRect b="-528" l="0" r="-8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7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Įžambiųjų projekcijų vaizdavimo plokštumose z=0, y=0 arba x=0 skaitmeninio sudarymo transformacijos (</w:t>
      </w:r>
      <w:r w:rsidDel="00000000" w:rsidR="00000000" w:rsidRPr="00000000">
        <w:rPr>
          <w:b w:val="1"/>
          <w:i w:val="1"/>
          <w:rtl w:val="0"/>
        </w:rPr>
        <w:t xml:space="preserve">išvedimas</w:t>
      </w:r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spacing w:after="0" w:lineRule="auto"/>
        <w:ind w:left="720"/>
        <w:rPr>
          <w:b w:val="1"/>
        </w:rPr>
      </w:pP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2286000" cy="914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Perspektyvinių projekcijų vaizdavimo plokštumose z=0, y=0 arba x=0 skaitmeninio sudarymo transformacijos (</w:t>
      </w:r>
      <w:r w:rsidDel="00000000" w:rsidR="00000000" w:rsidRPr="00000000">
        <w:rPr>
          <w:b w:val="1"/>
          <w:i w:val="1"/>
          <w:rtl w:val="0"/>
        </w:rPr>
        <w:t xml:space="preserve">išvedimas</w:t>
      </w:r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spacing w:after="0" w:lineRule="auto"/>
        <w:ind w:left="720"/>
        <w:rPr/>
      </w:pP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609725" cy="914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720"/>
        <w:rPr>
          <w:b w:val="1"/>
        </w:rPr>
      </w:pP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552575" cy="914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Izometrinių projekcijų vaizdavimo plokštumose z=0, y=0 arba x=0 skaitmeninio sudarymo transformacijos (</w:t>
      </w:r>
      <w:r w:rsidDel="00000000" w:rsidR="00000000" w:rsidRPr="00000000">
        <w:rPr>
          <w:b w:val="1"/>
          <w:i w:val="1"/>
          <w:rtl w:val="0"/>
        </w:rPr>
        <w:t xml:space="preserve">išvedimas</w:t>
      </w:r>
      <w:r w:rsidDel="00000000" w:rsidR="00000000" w:rsidRPr="00000000">
        <w:rPr>
          <w:b w:val="1"/>
          <w:rtl w:val="0"/>
        </w:rPr>
        <w:t xml:space="preserve">).</w:t>
        <w:br w:type="textWrapping"/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952625" cy="914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14_paskaita- 9-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Vaizduojamieji tūriai, jų atkirtimas, pervedimas į kanonį tūrį.</w:t>
      </w:r>
    </w:p>
    <w:p w:rsidR="00000000" w:rsidDel="00000000" w:rsidP="00000000" w:rsidRDefault="00000000" w:rsidRPr="00000000" w14:paraId="00000021">
      <w:pPr>
        <w:spacing w:after="0" w:lineRule="auto"/>
        <w:ind w:left="720"/>
        <w:rPr/>
      </w:pPr>
      <w:r w:rsidDel="00000000" w:rsidR="00000000" w:rsidRPr="00000000">
        <w:rPr>
          <w:rtl w:val="0"/>
        </w:rPr>
        <w:t xml:space="preserve">Atkirtimas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Objektų, pilnai nepatenkančių į vaizduojamąjį tūrį, pašalinimas iš vizualizacijos proceso.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Tiesiogiai nematomų objektų pašalinimas padidina vizualizacijos spartą.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Dažnai atkirtime naudojami paprastesnės konstrukcijos gaubiantieji tūriai.</w:t>
      </w:r>
    </w:p>
    <w:p w:rsidR="00000000" w:rsidDel="00000000" w:rsidP="00000000" w:rsidRDefault="00000000" w:rsidRPr="00000000" w14:paraId="00000025">
      <w:pPr>
        <w:spacing w:after="0" w:lineRule="auto"/>
        <w:ind w:left="1440"/>
        <w:rPr/>
      </w:pPr>
      <w:r w:rsidDel="00000000" w:rsidR="00000000" w:rsidRPr="00000000">
        <w:rPr/>
        <w:drawing>
          <wp:inline distB="0" distT="0" distL="0" distR="0">
            <wp:extent cx="4202113" cy="26638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26601" l="54897" r="15540" t="43410"/>
                    <a:stretch>
                      <a:fillRect/>
                    </a:stretch>
                  </pic:blipFill>
                  <pic:spPr>
                    <a:xfrm>
                      <a:off x="0" y="0"/>
                      <a:ext cx="4202113" cy="266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Kanoninis(normalinis) tūris: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Vaizduojamasis tūris, pertvarkytas į vienetinį kūbą, apribotą plokštumomis: x=0, x=1,y=0, y=1, z=0, z=1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04839" cy="2867026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93581" y="2346487"/>
                          <a:ext cx="5304839" cy="2867026"/>
                          <a:chOff x="2693581" y="2346487"/>
                          <a:chExt cx="5304839" cy="2867026"/>
                        </a:xfrm>
                      </wpg:grpSpPr>
                      <wpg:grpSp>
                        <wpg:cNvGrpSpPr/>
                        <wpg:grpSpPr>
                          <a:xfrm>
                            <a:off x="2693581" y="2346487"/>
                            <a:ext cx="5304839" cy="2867026"/>
                            <a:chOff x="0" y="0"/>
                            <a:chExt cx="9068405" cy="48748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9068400" cy="4874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pic:pic>
                          <pic:nvPicPr>
                            <pic:cNvPr descr="AADGHYL0" id="8" name="Shape 8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35440" l="12555" r="12502" t="16806"/>
                            <a:stretch/>
                          </pic:blipFill>
                          <pic:spPr>
                            <a:xfrm>
                              <a:off x="0" y="28900"/>
                              <a:ext cx="8938173" cy="42791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" name="Shape 9"/>
                          <wps:spPr>
                            <a:xfrm>
                              <a:off x="440787" y="0"/>
                              <a:ext cx="2718013" cy="1441663"/>
                            </a:xfrm>
                            <a:prstGeom prst="rect">
                              <a:avLst/>
                            </a:prstGeom>
                            <a:solidFill>
                              <a:srgbClr val="FBFAF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Transformuotas vaizduojamasis tūris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6544520" y="3492521"/>
                              <a:ext cx="2523885" cy="1382339"/>
                            </a:xfrm>
                            <a:prstGeom prst="rect">
                              <a:avLst/>
                            </a:prstGeom>
                            <a:solidFill>
                              <a:srgbClr val="FBFAF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Normalizuotas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vaizduojamasis tūris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591692" y="3239742"/>
                              <a:ext cx="2061695" cy="1197838"/>
                            </a:xfrm>
                            <a:prstGeom prst="rect">
                              <a:avLst/>
                            </a:prstGeom>
                            <a:solidFill>
                              <a:srgbClr val="FBFAF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(0,0,0)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(-1,-1,-1)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...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58835" y="3473080"/>
                              <a:ext cx="1557432" cy="585726"/>
                            </a:xfrm>
                            <a:prstGeom prst="rect">
                              <a:avLst/>
                            </a:prstGeom>
                            <a:solidFill>
                              <a:srgbClr val="FBFAF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Projektavimo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taškas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13" name="Shape 13"/>
                          <wps:spPr>
                            <a:xfrm rot="826480">
                              <a:off x="4445273" y="1647649"/>
                              <a:ext cx="1824149" cy="696839"/>
                            </a:xfrm>
                            <a:prstGeom prst="rightArrow">
                              <a:avLst>
                                <a:gd fmla="val 50000" name="adj1"/>
                                <a:gd fmla="val 50000" name="adj2"/>
                              </a:avLst>
                            </a:prstGeom>
                            <a:solidFill>
                              <a:srgbClr val="FFFF00"/>
                            </a:solidFill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Normalizacija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04839" cy="2867026"/>
                <wp:effectExtent b="0" l="0" r="0" t="0"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4839" cy="28670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Galinių plokštumų nustatymo metodas.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13_paskaita 22-28 skaidres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Z-buferio algoritmas.</w:t>
      </w:r>
      <w:r w:rsidDel="00000000" w:rsidR="00000000" w:rsidRPr="00000000">
        <w:rPr>
          <w:rtl w:val="0"/>
        </w:rPr>
        <w:br w:type="textWrapping"/>
        <w:t xml:space="preserve">Trumpai: Z-buferio algoritmo esmė yra tokia jog arčiau esantys objektai uzdengia toliau esančius objektus ar jų dalis.</w:t>
        <w:br w:type="textWrapping"/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315043" cy="266752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88479" y="2446238"/>
                          <a:ext cx="6315043" cy="2667524"/>
                          <a:chOff x="2188479" y="2446238"/>
                          <a:chExt cx="6315042" cy="2667524"/>
                        </a:xfrm>
                      </wpg:grpSpPr>
                      <wpg:grpSp>
                        <wpg:cNvGrpSpPr/>
                        <wpg:grpSpPr>
                          <a:xfrm>
                            <a:off x="2188479" y="2446238"/>
                            <a:ext cx="6315042" cy="2667524"/>
                            <a:chOff x="0" y="0"/>
                            <a:chExt cx="5472" cy="194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50" cy="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33924" l="26043" r="25247" t="44228"/>
                            <a:stretch/>
                          </pic:blipFill>
                          <pic:spPr>
                            <a:xfrm>
                              <a:off x="0" y="0"/>
                              <a:ext cx="5406" cy="18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3362" y="1478"/>
                              <a:ext cx="839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87.99999237060547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Akis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317" y="1256"/>
                              <a:ext cx="1155" cy="6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87.99999237060547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c0504d"/>
                                    <w:sz w:val="48"/>
                                    <w:vertAlign w:val="baseline"/>
                                  </w:rPr>
                                  <w:t xml:space="preserve">Vaizdas iš viršaus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15043" cy="2667524"/>
                <wp:effectExtent b="0" l="0" r="0" t="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5043" cy="26675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br w:type="textWrapping"/>
        <w:br w:type="textWrapping"/>
        <w:t xml:space="preserve">13_paskaita: 39-...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Daugiakampio pozicijos (gylio) reikšmės nustatymas  Z-buferio algoritme.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is plostumos lygties = </w:t>
      </w:r>
      <m:oMath>
        <m:r>
          <w:rPr>
            <w:rFonts w:ascii="Cambria" w:cs="Cambria" w:eastAsia="Cambria" w:hAnsi="Cambria"/>
          </w:rPr>
          <m:t xml:space="preserve">Ax+By+Cz+D=0</m:t>
        </m:r>
      </m:oMath>
      <w:r w:rsidDel="00000000" w:rsidR="00000000" w:rsidRPr="00000000">
        <w:rPr>
          <w:rtl w:val="0"/>
        </w:rPr>
        <w:br w:type="textWrapping"/>
        <w:t xml:space="preserve">interpretuojant gylio reiksmes: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x,y</m:t>
            </m:r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&gt;z         z=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-Ax-By-D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x+1,y</m:t>
            </m:r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&gt;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z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*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    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z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*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-A(x+1)-By-D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    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z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*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=z-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Apšvietimo modelio dedamosios (išvardinti).</w:t>
      </w:r>
    </w:p>
    <w:p w:rsidR="00000000" w:rsidDel="00000000" w:rsidP="00000000" w:rsidRDefault="00000000" w:rsidRPr="00000000" w14:paraId="00000034">
      <w:pPr>
        <w:spacing w:after="0" w:lineRule="auto"/>
        <w:ind w:left="360"/>
        <w:rPr/>
      </w:pPr>
      <w:r w:rsidDel="00000000" w:rsidR="00000000" w:rsidRPr="00000000">
        <w:rPr>
          <w:rtl w:val="0"/>
        </w:rPr>
        <w:t xml:space="preserve">Grupės: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Lokalieji:</w:t>
      </w: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  <w:t xml:space="preserve">taško spalva apskaičiuojama įvertinant tik taško padėtį erdvėje,  paviršiaus medžiagos savybes ir scenoje esančių visų šviesos šaltinių savybes.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Globalieji:</w:t>
      </w: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  <w:t xml:space="preserve">tiesioginio (angl. </w:t>
      </w:r>
      <w:r w:rsidDel="00000000" w:rsidR="00000000" w:rsidRPr="00000000">
        <w:rPr>
          <w:i w:val="1"/>
          <w:rtl w:val="0"/>
        </w:rPr>
        <w:t xml:space="preserve">ray tracing</w:t>
      </w:r>
      <w:r w:rsidDel="00000000" w:rsidR="00000000" w:rsidRPr="00000000">
        <w:rPr>
          <w:rtl w:val="0"/>
        </w:rPr>
        <w:t xml:space="preserve">) spindulių trasavimo;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atvirkštinio (angl. </w:t>
      </w:r>
      <w:r w:rsidDel="00000000" w:rsidR="00000000" w:rsidRPr="00000000">
        <w:rPr>
          <w:i w:val="1"/>
          <w:rtl w:val="0"/>
        </w:rPr>
        <w:t xml:space="preserve">ray casting</w:t>
      </w:r>
      <w:r w:rsidDel="00000000" w:rsidR="00000000" w:rsidRPr="00000000">
        <w:rPr>
          <w:rtl w:val="0"/>
        </w:rPr>
        <w:t xml:space="preserve">) spindulių trasavimo;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stochastinio (angl. </w:t>
      </w:r>
      <w:r w:rsidDel="00000000" w:rsidR="00000000" w:rsidRPr="00000000">
        <w:rPr>
          <w:i w:val="1"/>
          <w:rtl w:val="0"/>
        </w:rPr>
        <w:t xml:space="preserve">stochastic ray tracing</w:t>
      </w:r>
      <w:r w:rsidDel="00000000" w:rsidR="00000000" w:rsidRPr="00000000">
        <w:rPr>
          <w:rtl w:val="0"/>
        </w:rPr>
        <w:t xml:space="preserve">) spindulių trasavimo;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fotonų trasavimo (angl. </w:t>
      </w:r>
      <w:r w:rsidDel="00000000" w:rsidR="00000000" w:rsidRPr="00000000">
        <w:rPr>
          <w:i w:val="1"/>
          <w:rtl w:val="0"/>
        </w:rPr>
        <w:t xml:space="preserve">photon mapping</w:t>
      </w: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detalios šviesos atspindžių nuo difuzinių paviršių analizės (angl. </w:t>
      </w:r>
      <w:r w:rsidDel="00000000" w:rsidR="00000000" w:rsidRPr="00000000">
        <w:rPr>
          <w:i w:val="1"/>
          <w:rtl w:val="0"/>
        </w:rPr>
        <w:t xml:space="preserve">radiosity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lineRule="auto"/>
        <w:ind w:left="720" w:hanging="357"/>
        <w:rPr>
          <w:b w:val="1"/>
        </w:rPr>
      </w:pPr>
      <w:r w:rsidDel="00000000" w:rsidR="00000000" w:rsidRPr="00000000">
        <w:rPr>
          <w:b w:val="1"/>
          <w:rtl w:val="0"/>
        </w:rPr>
        <w:t xml:space="preserve">Plokščiųjų paviršių apšvietimo skaičiavimo modeliai (lygaus spalvinimo, Guru, Fongo).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lineRule="auto"/>
        <w:ind w:left="1440" w:hanging="357"/>
        <w:rPr/>
      </w:pPr>
      <w:r w:rsidDel="00000000" w:rsidR="00000000" w:rsidRPr="00000000">
        <w:rPr>
          <w:rtl w:val="0"/>
        </w:rPr>
        <w:t xml:space="preserve">Lygusis (plokščiasis) spalvinimas (</w:t>
      </w:r>
      <w:r w:rsidDel="00000000" w:rsidR="00000000" w:rsidRPr="00000000">
        <w:rPr>
          <w:i w:val="1"/>
          <w:rtl w:val="0"/>
        </w:rPr>
        <w:t xml:space="preserve">flat</w:t>
      </w:r>
      <w:r w:rsidDel="00000000" w:rsidR="00000000" w:rsidRPr="00000000">
        <w:rPr>
          <w:rtl w:val="0"/>
        </w:rPr>
        <w:t xml:space="preserve">). Lygaus spalvinimo prielaidos:</w:t>
        <w:br w:type="textWrapping"/>
        <w:t xml:space="preserve">1. Vaizduojamasis objektas yra briaunainis, bet ne objekto kreivųjų paviršių aproksimacija;</w:t>
        <w:br w:type="textWrapping"/>
        <w:t xml:space="preserve">2. Visi šviesos šaltiniai pakankamai toli nuo objekto ir N·L bei šviesos intensyvumo slopimas yra pastovūs; </w:t>
        <w:br w:type="textWrapping"/>
        <w:t xml:space="preserve">3. Stebimas paviršius pakankamai toli nuo stebėtojo ir V·R pastovus. 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lineRule="auto"/>
        <w:ind w:left="1440" w:hanging="357"/>
        <w:rPr/>
      </w:pPr>
      <w:r w:rsidDel="00000000" w:rsidR="00000000" w:rsidRPr="00000000">
        <w:rPr>
          <w:rtl w:val="0"/>
        </w:rPr>
        <w:t xml:space="preserve">Glodusis spalvinimas su šviesos intensyvumų interpoliacija (</w:t>
      </w:r>
      <w:r w:rsidDel="00000000" w:rsidR="00000000" w:rsidRPr="00000000">
        <w:rPr>
          <w:i w:val="1"/>
          <w:rtl w:val="0"/>
        </w:rPr>
        <w:t xml:space="preserve">Gouraud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  <w:t xml:space="preserve">Daugiakampių normalių skaičiavimas.</w:t>
      </w:r>
    </w:p>
    <w:p w:rsidR="00000000" w:rsidDel="00000000" w:rsidP="00000000" w:rsidRDefault="00000000" w:rsidRPr="00000000" w14:paraId="0000003E">
      <w:pPr>
        <w:numPr>
          <w:ilvl w:val="2"/>
          <w:numId w:val="5"/>
        </w:numPr>
        <w:spacing w:after="0" w:lineRule="auto"/>
        <w:ind w:left="2160" w:hanging="356.9999999999999"/>
        <w:rPr/>
      </w:pPr>
      <w:r w:rsidDel="00000000" w:rsidR="00000000" w:rsidRPr="00000000">
        <w:rPr>
          <w:rtl w:val="0"/>
        </w:rPr>
        <w:t xml:space="preserve">Nustatoma kiekvienos daugiakampio viršūnės normalė kaip gretimųjų daugiakampių vienetinių normalių vidurkis; </w:t>
      </w:r>
    </w:p>
    <w:p w:rsidR="00000000" w:rsidDel="00000000" w:rsidP="00000000" w:rsidRDefault="00000000" w:rsidRPr="00000000" w14:paraId="0000003F">
      <w:pPr>
        <w:numPr>
          <w:ilvl w:val="2"/>
          <w:numId w:val="5"/>
        </w:numPr>
        <w:spacing w:after="0" w:lineRule="auto"/>
        <w:ind w:left="2160" w:hanging="356.9999999999999"/>
        <w:rPr/>
      </w:pPr>
      <w:r w:rsidDel="00000000" w:rsidR="00000000" w:rsidRPr="00000000">
        <w:rPr>
          <w:rtl w:val="0"/>
        </w:rPr>
        <w:t xml:space="preserve">Pagal apšvietimo skaičiavimo modelį apskaičiuojamas kiekvienos viršūnės apšvietimo intensyvumas;</w:t>
      </w:r>
    </w:p>
    <w:p w:rsidR="00000000" w:rsidDel="00000000" w:rsidP="00000000" w:rsidRDefault="00000000" w:rsidRPr="00000000" w14:paraId="00000040">
      <w:pPr>
        <w:numPr>
          <w:ilvl w:val="2"/>
          <w:numId w:val="5"/>
        </w:numPr>
        <w:spacing w:after="0" w:lineRule="auto"/>
        <w:ind w:left="2160" w:hanging="356.9999999999999"/>
        <w:rPr/>
      </w:pPr>
      <w:r w:rsidDel="00000000" w:rsidR="00000000" w:rsidRPr="00000000">
        <w:rPr>
          <w:rtl w:val="0"/>
        </w:rPr>
        <w:t xml:space="preserve">Daugiakampių spalvinimas tiesiškai interpoliuojant šviesos intensyvumų reikšmes išilgai briaunų ir tarp briaunų. 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lineRule="auto"/>
        <w:ind w:left="1440" w:hanging="357"/>
        <w:rPr/>
      </w:pPr>
      <w:r w:rsidDel="00000000" w:rsidR="00000000" w:rsidRPr="00000000">
        <w:rPr>
          <w:rtl w:val="0"/>
        </w:rPr>
        <w:t xml:space="preserve">Glodusis spalvinimas su normalės vektorių interpoliacija (</w:t>
      </w:r>
      <w:r w:rsidDel="00000000" w:rsidR="00000000" w:rsidRPr="00000000">
        <w:rPr>
          <w:i w:val="1"/>
          <w:rtl w:val="0"/>
        </w:rPr>
        <w:t xml:space="preserve">Phong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spacing w:after="0" w:lineRule="auto"/>
        <w:ind w:left="2160" w:hanging="356.9999999999999"/>
        <w:rPr/>
      </w:pPr>
      <w:r w:rsidDel="00000000" w:rsidR="00000000" w:rsidRPr="00000000">
        <w:rPr>
          <w:rtl w:val="0"/>
        </w:rPr>
        <w:t xml:space="preserve">Daugiakampių viršūnių normalių skaičiavimas.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spacing w:after="0" w:lineRule="auto"/>
        <w:ind w:left="2160" w:hanging="356.9999999999999"/>
        <w:rPr/>
      </w:pPr>
      <w:r w:rsidDel="00000000" w:rsidR="00000000" w:rsidRPr="00000000">
        <w:rPr>
          <w:rtl w:val="0"/>
        </w:rPr>
        <w:t xml:space="preserve">Nustatomas kiekvienos daugiakampio viršūnės gretimųjų daugiakampių vienetinių normalės vektorių vidurkis 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spacing w:after="0" w:lineRule="auto"/>
        <w:ind w:left="2160" w:hanging="356.9999999999999"/>
        <w:rPr/>
      </w:pPr>
      <w:r w:rsidDel="00000000" w:rsidR="00000000" w:rsidRPr="00000000">
        <w:rPr>
          <w:rtl w:val="0"/>
        </w:rPr>
        <w:t xml:space="preserve">Tiesiškai interpoliuojamos viso daugiakampio paviršiaus viršūnių normalių reikšmės; </w:t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spacing w:after="0" w:lineRule="auto"/>
        <w:ind w:left="2160" w:hanging="356.9999999999999"/>
        <w:rPr/>
      </w:pPr>
      <w:r w:rsidDel="00000000" w:rsidR="00000000" w:rsidRPr="00000000">
        <w:rPr>
          <w:rtl w:val="0"/>
        </w:rPr>
        <w:t xml:space="preserve">Pagal apšvietimo skaičiavimo modelį nustatomas kiekvieno skleistinės taško apšvietimo intensyvumas. 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Homogeninių koordinačių naudojimo pranašumai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lineRule="auto"/>
        <w:ind w:left="1434" w:hanging="357"/>
        <w:rPr/>
      </w:pPr>
      <w:r w:rsidDel="00000000" w:rsidR="00000000" w:rsidRPr="00000000">
        <w:rPr>
          <w:rtl w:val="0"/>
        </w:rPr>
        <w:t xml:space="preserve">Naudojamos daugelyje transformacijų, paprastos, žinomos ir reguliarios sudarymo taisyklės:</w:t>
      </w:r>
    </w:p>
    <w:p w:rsidR="00000000" w:rsidDel="00000000" w:rsidP="00000000" w:rsidRDefault="00000000" w:rsidRPr="00000000" w14:paraId="00000048">
      <w:pPr>
        <w:spacing w:after="0" w:lineRule="auto"/>
        <w:ind w:left="1440"/>
        <w:rPr/>
      </w:pPr>
      <w:r w:rsidDel="00000000" w:rsidR="00000000" w:rsidRPr="00000000">
        <w:rPr>
          <w:rtl w:val="0"/>
        </w:rPr>
        <w:t xml:space="preserve">standartinės matricos [3 x 3] ir [4 x 4]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Dalyba iš homogeninės koordinatės dedamosios palengvina perspektyvų skaičiavimą:</w:t>
      </w:r>
    </w:p>
    <w:p w:rsidR="00000000" w:rsidDel="00000000" w:rsidP="00000000" w:rsidRDefault="00000000" w:rsidRPr="00000000" w14:paraId="0000004A">
      <w:pPr>
        <w:spacing w:after="0" w:lineRule="auto"/>
        <w:ind w:left="1440"/>
        <w:rPr/>
      </w:pPr>
      <w:r w:rsidDel="00000000" w:rsidR="00000000" w:rsidRPr="00000000">
        <w:rPr>
          <w:rtl w:val="0"/>
        </w:rPr>
        <w:t xml:space="preserve">kai w=0 – taškas yra begalybėje (x,y,z,0)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Grafinių duomenų rinkiniai pilnai aprašomi 4 dedamosiomis:</w:t>
      </w:r>
    </w:p>
    <w:p w:rsidR="00000000" w:rsidDel="00000000" w:rsidP="00000000" w:rsidRDefault="00000000" w:rsidRPr="00000000" w14:paraId="0000004C">
      <w:pPr>
        <w:spacing w:after="0" w:lineRule="auto"/>
        <w:ind w:left="1440"/>
        <w:rPr/>
      </w:pPr>
      <w:r w:rsidDel="00000000" w:rsidR="00000000" w:rsidRPr="00000000">
        <w:rPr>
          <w:rtl w:val="0"/>
        </w:rPr>
        <w:t xml:space="preserve">homogeninės 3D viršūnės (x,e,z,h), spalvos (R,G,B,A), homogeninės 3D tekstūros koordinatės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 Patogus ir efektyvus būdas vienos koordinačių sistemos taškus atvaizduoti transformuotose koordinačių sistemose.</w:t>
      </w:r>
    </w:p>
    <w:p w:rsidR="00000000" w:rsidDel="00000000" w:rsidP="00000000" w:rsidRDefault="00000000" w:rsidRPr="00000000" w14:paraId="0000004E">
      <w:pPr>
        <w:spacing w:after="0" w:lineRule="auto"/>
        <w:ind w:left="1440"/>
        <w:rPr/>
      </w:pPr>
      <w:r w:rsidDel="00000000" w:rsidR="00000000" w:rsidRPr="00000000">
        <w:rPr>
          <w:rtl w:val="0"/>
        </w:rPr>
        <w:t xml:space="preserve">[10 20 1] -&gt; [100 200 10] -&gt; [150 300 15] -&gt; [0,2 0,4 0,02]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Supaprastinami skaičiavimai su labai dideliais skaičiais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[100000 200000 1] -&gt; [10 20 0,0001]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Supaprastinami skaičiavimai su trupmeniniais skaičiais, nes įrenginių koordinatės - sveikaskaitinės</w:t>
      </w:r>
    </w:p>
    <w:p w:rsidR="00000000" w:rsidDel="00000000" w:rsidP="00000000" w:rsidRDefault="00000000" w:rsidRPr="00000000" w14:paraId="00000052">
      <w:pPr>
        <w:spacing w:after="0" w:lineRule="auto"/>
        <w:ind w:left="1440"/>
        <w:rPr/>
      </w:pPr>
      <w:r w:rsidDel="00000000" w:rsidR="00000000" w:rsidRPr="00000000">
        <w:rPr>
          <w:rtl w:val="0"/>
        </w:rPr>
        <w:t xml:space="preserve">[0,0001 0,0002 1] -&gt; [10 20 100000]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lineRule="auto"/>
        <w:ind w:left="1434" w:hanging="357"/>
        <w:rPr/>
      </w:pPr>
      <w:r w:rsidDel="00000000" w:rsidR="00000000" w:rsidRPr="00000000">
        <w:rPr>
          <w:rtl w:val="0"/>
        </w:rPr>
        <w:t xml:space="preserve">Efektyviai naudojamas aparatūrinėse tiesinių transformacijų realizacijose dauginant/sumuojant matricas.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Lygiagrečiojo/perspektyvinio projektavimo vaizduojamasis tūris ir jo pervedimo į kanoninį (normalizuotąjį) tūrį veiksmų seka.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Pasukti vaizduojamąjį tūrį (lygiagretasienį) taip, kad viena jo plokštuma būtų lygiagreti koordinačių sistemos plokštumai.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Tūrį pertvarkyti į stačiakampį gretasienį šlyties transformacija, kuri sutapdina vaizdavimo plokštumos normalę su projektavimo spinduliais.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Perkelti stačiakampį gretasienį į koordinačių pradžią.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Mastelio keitimo transformacijomis transformuoti stačiakampį gretasienį į kanoninį (normalizuotąjį) tūrį</w:t>
        <w:br w:type="textWrapping"/>
        <w:t xml:space="preserve">14_paskaita 73-...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Spalvų modeliai ir jų naudojimo sritys.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RGB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modelyje pirminės spalvos atidėtos ant vienetinio kubo briaunų. Šio kubo taškas (0,0,0) atitinka juodą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spalvą, o taškas (1,1,1) – baltą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Įstrižainė tarp šių taškų vaizduoja visus pilkumo atspalvius. Visas kitas spalvas atitinka taškai kubo viduje. Naudojamas monitoriuose.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modelyje pirminės spalvos yra žydra, purpurinė ir geltona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agenta,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),. Šiame modelyje, priešingai nei RGB, balta spalva vaizduojama tašku (0,0,0), o juoda – tašku (1,1,1). CMY modelis vartojamas spausdinimo ir braižymo įrenginiuose pigmentų spalvoms parinkti ir įvairiems atspalviams gauti. Trijų pirminių spalvų kombinacijos purškiamos vienos ant kitų ir leidžiama joms susimaišyti prieš išdžiūstant.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Tačiau juodai spalvai gauti vartojami juodi dažai, kadangi, sudarant CMY modeliu apibrėžiamą juodą spalvą, gaunama tik tamsiai pilka. Taigi vaizdams spausdinti vartojamas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CMYK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agenta,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ellow, blac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modelis 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Kita INFO:</w:t>
        <w:br w:type="textWrapping"/>
        <w:t xml:space="preserve">9-10 Skaidres- AUTOLISP Funckijos!</w:t>
        <w:br w:type="textWrapping"/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cs="Times New Roman" w:eastAsia="Times New Roman" w:hAnsi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cs="Times New Roman" w:eastAsia="Times New Roman" w:hAnsi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cs="Times New Roman" w:eastAsia="Times New Roman" w:hAnsi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cs="Times New Roman" w:eastAsia="Times New Roman" w:hAnsi="Times New Roman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lt-L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