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Tenacious-Bench v0.1 — Interim Report</w:t>
      </w:r>
    </w:p>
    <w:p>
      <w:pPr>
        <w:jc w:val="center"/>
      </w:pPr>
      <w:r>
        <w:rPr>
          <w:i/>
          <w:sz w:val="26"/>
        </w:rPr>
        <w:t>Acts I–II: Audit, Schema, Dataset Authoring</w:t>
      </w:r>
    </w:p>
    <w:p>
      <w:pPr>
        <w:jc w:val="center"/>
      </w:pPr>
      <w:r>
        <w:rPr>
          <w:color w:val="555555"/>
          <w:sz w:val="20"/>
        </w:rPr>
        <w:t>Submitted: 2026-04-29 · Melaku Y. · Tenacious Conversion-Engine</w:t>
      </w:r>
    </w:p>
    <w:p/>
    <w:p>
      <w:pPr>
        <w:pStyle w:val="Heading1"/>
      </w:pPr>
      <w:r>
        <w:t>1. Bench Composition</w:t>
      </w:r>
    </w:p>
    <w:p>
      <w:r>
        <w:t>Tenacious-Bench v0.1 is a 408-task domain-specific evaluation benchmark for B2B sales outreach agents. It covers six failure classes identified in Week 10 probing that general benchmarks (τ²-Bench retail, HELM, MTEB) cannot detect. All tasks are machine-verifiable: a deterministic Python scorer returns a weighted score ∈ [0, 1] with no LLM calls required.</w:t>
      </w:r>
    </w:p>
    <w:p>
      <w:pPr>
        <w:pStyle w:val="Heading2"/>
      </w:pPr>
      <w:r>
        <w:t>1.1 Master Cross-Tabulation: Partition × Source Mode × Failure Class</w:t>
      </w:r>
    </w:p>
    <w:p>
      <w:r>
        <w:t>All three dataset axes integrated. Columns are failure classes; rows are source modes grouped by partition. Shaded rows show partition subtotals with actual vs. target percentages.</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c>
          <w:tcPr>
            <w:tcW w:type="dxa" w:w="3024"/>
            <w:shd w:val="clear" w:color="auto" w:fill="1F497D"/>
          </w:tcPr>
          <w:p>
            <w:pPr>
              <w:jc w:val="center"/>
            </w:pPr>
            <w:r>
              <w:rPr>
                <w:b/>
                <w:color w:val="FFFFFF"/>
              </w:rPr>
              <w:t>Partition / Source Mode</w:t>
            </w:r>
          </w:p>
        </w:tc>
        <w:tc>
          <w:tcPr>
            <w:tcW w:type="dxa" w:w="648"/>
            <w:shd w:val="clear" w:color="auto" w:fill="1F497D"/>
          </w:tcPr>
          <w:p>
            <w:pPr>
              <w:jc w:val="center"/>
            </w:pPr>
            <w:r>
              <w:rPr>
                <w:b/>
                <w:color w:val="FFFFFF"/>
              </w:rPr>
              <w:t>FC1</w:t>
            </w:r>
          </w:p>
        </w:tc>
        <w:tc>
          <w:tcPr>
            <w:tcW w:type="dxa" w:w="648"/>
            <w:shd w:val="clear" w:color="auto" w:fill="1F497D"/>
          </w:tcPr>
          <w:p>
            <w:pPr>
              <w:jc w:val="center"/>
            </w:pPr>
            <w:r>
              <w:rPr>
                <w:b/>
                <w:color w:val="FFFFFF"/>
              </w:rPr>
              <w:t>FC2</w:t>
            </w:r>
          </w:p>
        </w:tc>
        <w:tc>
          <w:tcPr>
            <w:tcW w:type="dxa" w:w="648"/>
            <w:shd w:val="clear" w:color="auto" w:fill="1F497D"/>
          </w:tcPr>
          <w:p>
            <w:pPr>
              <w:jc w:val="center"/>
            </w:pPr>
            <w:r>
              <w:rPr>
                <w:b/>
                <w:color w:val="FFFFFF"/>
              </w:rPr>
              <w:t>FC3</w:t>
            </w:r>
          </w:p>
        </w:tc>
        <w:tc>
          <w:tcPr>
            <w:tcW w:type="dxa" w:w="648"/>
            <w:shd w:val="clear" w:color="auto" w:fill="1F497D"/>
          </w:tcPr>
          <w:p>
            <w:pPr>
              <w:jc w:val="center"/>
            </w:pPr>
            <w:r>
              <w:rPr>
                <w:b/>
                <w:color w:val="FFFFFF"/>
              </w:rPr>
              <w:t>FC-T</w:t>
            </w:r>
          </w:p>
        </w:tc>
        <w:tc>
          <w:tcPr>
            <w:tcW w:type="dxa" w:w="648"/>
            <w:shd w:val="clear" w:color="auto" w:fill="1F497D"/>
          </w:tcPr>
          <w:p>
            <w:pPr>
              <w:jc w:val="center"/>
            </w:pPr>
            <w:r>
              <w:rPr>
                <w:b/>
                <w:color w:val="FFFFFF"/>
              </w:rPr>
              <w:t>FC9</w:t>
            </w:r>
          </w:p>
        </w:tc>
        <w:tc>
          <w:tcPr>
            <w:tcW w:type="dxa" w:w="504"/>
            <w:shd w:val="clear" w:color="auto" w:fill="1F497D"/>
          </w:tcPr>
          <w:p>
            <w:pPr>
              <w:jc w:val="center"/>
            </w:pPr>
            <w:r>
              <w:rPr>
                <w:b/>
                <w:color w:val="FFFFFF"/>
              </w:rPr>
              <w:t>Oth</w:t>
            </w:r>
          </w:p>
        </w:tc>
        <w:tc>
          <w:tcPr>
            <w:tcW w:type="dxa" w:w="792"/>
            <w:shd w:val="clear" w:color="auto" w:fill="1F497D"/>
          </w:tcPr>
          <w:p>
            <w:pPr>
              <w:jc w:val="center"/>
            </w:pPr>
            <w:r>
              <w:rPr>
                <w:b/>
                <w:color w:val="FFFFFF"/>
              </w:rPr>
              <w:t>Total</w:t>
            </w:r>
          </w:p>
        </w:tc>
      </w:tr>
      <w:tr>
        <w:tc>
          <w:tcPr>
            <w:tcW w:type="dxa" w:w="3024"/>
            <w:shd w:val="clear" w:color="auto" w:fill="BDD7EE"/>
          </w:tcPr>
          <w:p>
            <w:pPr>
              <w:jc w:val="center"/>
            </w:pPr>
            <w:r>
              <w:rPr>
                <w:b/>
              </w:rPr>
              <w:t>TRAIN — actual 57.6%  |  target 50%  |  Δ +7.6 pp</w:t>
            </w:r>
          </w:p>
        </w:tc>
        <w:tc>
          <w:tcPr>
            <w:tcW w:type="dxa" w:w="648"/>
            <w:shd w:val="clear" w:color="auto" w:fill="BDD7EE"/>
          </w:tcPr>
          <w:p>
            <w:pPr>
              <w:jc w:val="center"/>
            </w:pPr>
            <w:r>
              <w:rPr>
                <w:b/>
              </w:rPr>
              <w:t>36</w:t>
            </w:r>
          </w:p>
        </w:tc>
        <w:tc>
          <w:tcPr>
            <w:tcW w:type="dxa" w:w="648"/>
            <w:shd w:val="clear" w:color="auto" w:fill="BDD7EE"/>
          </w:tcPr>
          <w:p>
            <w:pPr>
              <w:jc w:val="center"/>
            </w:pPr>
            <w:r>
              <w:rPr>
                <w:b/>
              </w:rPr>
              <w:t>42</w:t>
            </w:r>
          </w:p>
        </w:tc>
        <w:tc>
          <w:tcPr>
            <w:tcW w:type="dxa" w:w="648"/>
            <w:shd w:val="clear" w:color="auto" w:fill="BDD7EE"/>
          </w:tcPr>
          <w:p>
            <w:pPr>
              <w:jc w:val="center"/>
            </w:pPr>
            <w:r>
              <w:rPr>
                <w:b/>
              </w:rPr>
              <w:t>71</w:t>
            </w:r>
          </w:p>
        </w:tc>
        <w:tc>
          <w:tcPr>
            <w:tcW w:type="dxa" w:w="648"/>
            <w:shd w:val="clear" w:color="auto" w:fill="BDD7EE"/>
          </w:tcPr>
          <w:p>
            <w:pPr>
              <w:jc w:val="center"/>
            </w:pPr>
            <w:r>
              <w:rPr>
                <w:b/>
              </w:rPr>
              <w:t>45</w:t>
            </w:r>
          </w:p>
        </w:tc>
        <w:tc>
          <w:tcPr>
            <w:tcW w:type="dxa" w:w="648"/>
            <w:shd w:val="clear" w:color="auto" w:fill="BDD7EE"/>
          </w:tcPr>
          <w:p>
            <w:pPr>
              <w:jc w:val="center"/>
            </w:pPr>
            <w:r>
              <w:rPr>
                <w:b/>
              </w:rPr>
              <w:t>30</w:t>
            </w:r>
          </w:p>
        </w:tc>
        <w:tc>
          <w:tcPr>
            <w:tcW w:type="dxa" w:w="504"/>
            <w:shd w:val="clear" w:color="auto" w:fill="BDD7EE"/>
          </w:tcPr>
          <w:p>
            <w:pPr>
              <w:jc w:val="center"/>
            </w:pPr>
            <w:r>
              <w:rPr>
                <w:b/>
              </w:rPr>
              <w:t>11</w:t>
            </w:r>
          </w:p>
        </w:tc>
        <w:tc>
          <w:tcPr>
            <w:tcW w:type="dxa" w:w="792"/>
            <w:shd w:val="clear" w:color="auto" w:fill="BDD7EE"/>
          </w:tcPr>
          <w:p>
            <w:pPr>
              <w:jc w:val="center"/>
            </w:pPr>
            <w:r>
              <w:rPr>
                <w:b/>
              </w:rPr>
              <w:t>235</w:t>
            </w:r>
          </w:p>
        </w:tc>
      </w:tr>
      <w:tr>
        <w:tc>
          <w:tcPr>
            <w:tcW w:type="dxa" w:w="3024"/>
          </w:tcPr>
          <w:p>
            <w:pPr>
              <w:jc w:val="center"/>
            </w:pPr>
            <w:r>
              <w:t xml:space="preserve">  Programmatic</w:t>
            </w:r>
          </w:p>
        </w:tc>
        <w:tc>
          <w:tcPr>
            <w:tcW w:type="dxa" w:w="648"/>
          </w:tcPr>
          <w:p>
            <w:pPr>
              <w:jc w:val="center"/>
            </w:pPr>
            <w:r>
              <w:t>30</w:t>
            </w:r>
          </w:p>
        </w:tc>
        <w:tc>
          <w:tcPr>
            <w:tcW w:type="dxa" w:w="648"/>
          </w:tcPr>
          <w:p>
            <w:pPr>
              <w:jc w:val="center"/>
            </w:pPr>
            <w:r>
              <w:t>30</w:t>
            </w:r>
          </w:p>
        </w:tc>
        <w:tc>
          <w:tcPr>
            <w:tcW w:type="dxa" w:w="648"/>
          </w:tcPr>
          <w:p>
            <w:pPr>
              <w:jc w:val="center"/>
            </w:pPr>
            <w:r>
              <w:t>30</w:t>
            </w:r>
          </w:p>
        </w:tc>
        <w:tc>
          <w:tcPr>
            <w:tcW w:type="dxa" w:w="648"/>
          </w:tcPr>
          <w:p>
            <w:pPr>
              <w:jc w:val="center"/>
            </w:pPr>
            <w:r>
              <w:t>30</w:t>
            </w:r>
          </w:p>
        </w:tc>
        <w:tc>
          <w:tcPr>
            <w:tcW w:type="dxa" w:w="648"/>
          </w:tcPr>
          <w:p>
            <w:pPr>
              <w:jc w:val="center"/>
            </w:pPr>
            <w:r>
              <w:t>30</w:t>
            </w:r>
          </w:p>
        </w:tc>
        <w:tc>
          <w:tcPr>
            <w:tcW w:type="dxa" w:w="504"/>
          </w:tcPr>
          <w:p>
            <w:pPr>
              <w:jc w:val="center"/>
            </w:pPr>
            <w:r>
              <w:t>0</w:t>
            </w:r>
          </w:p>
        </w:tc>
        <w:tc>
          <w:tcPr>
            <w:tcW w:type="dxa" w:w="792"/>
          </w:tcPr>
          <w:p>
            <w:pPr>
              <w:jc w:val="center"/>
            </w:pPr>
            <w:r>
              <w:t>150</w:t>
            </w:r>
          </w:p>
        </w:tc>
      </w:tr>
      <w:tr>
        <w:tc>
          <w:tcPr>
            <w:tcW w:type="dxa" w:w="3024"/>
          </w:tcPr>
          <w:p>
            <w:pPr>
              <w:jc w:val="center"/>
            </w:pPr>
            <w:r>
              <w:t xml:space="preserve">  Synthesis</w:t>
            </w:r>
          </w:p>
        </w:tc>
        <w:tc>
          <w:tcPr>
            <w:tcW w:type="dxa" w:w="648"/>
          </w:tcPr>
          <w:p>
            <w:pPr>
              <w:jc w:val="center"/>
            </w:pPr>
            <w:r>
              <w:t>3</w:t>
            </w:r>
          </w:p>
        </w:tc>
        <w:tc>
          <w:tcPr>
            <w:tcW w:type="dxa" w:w="648"/>
          </w:tcPr>
          <w:p>
            <w:pPr>
              <w:jc w:val="center"/>
            </w:pPr>
            <w:r>
              <w:t>10</w:t>
            </w:r>
          </w:p>
        </w:tc>
        <w:tc>
          <w:tcPr>
            <w:tcW w:type="dxa" w:w="648"/>
          </w:tcPr>
          <w:p>
            <w:pPr>
              <w:jc w:val="center"/>
            </w:pPr>
            <w:r>
              <w:t>36</w:t>
            </w:r>
          </w:p>
        </w:tc>
        <w:tc>
          <w:tcPr>
            <w:tcW w:type="dxa" w:w="648"/>
          </w:tcPr>
          <w:p>
            <w:pPr>
              <w:jc w:val="center"/>
            </w:pPr>
            <w:r>
              <w:t>13</w:t>
            </w:r>
          </w:p>
        </w:tc>
        <w:tc>
          <w:tcPr>
            <w:tcW w:type="dxa" w:w="648"/>
          </w:tcPr>
          <w:p>
            <w:pPr>
              <w:jc w:val="center"/>
            </w:pPr>
            <w:r>
              <w:t>0</w:t>
            </w:r>
          </w:p>
        </w:tc>
        <w:tc>
          <w:tcPr>
            <w:tcW w:type="dxa" w:w="504"/>
          </w:tcPr>
          <w:p>
            <w:pPr>
              <w:jc w:val="center"/>
            </w:pPr>
            <w:r>
              <w:t>0</w:t>
            </w:r>
          </w:p>
        </w:tc>
        <w:tc>
          <w:tcPr>
            <w:tcW w:type="dxa" w:w="792"/>
          </w:tcPr>
          <w:p>
            <w:pPr>
              <w:jc w:val="center"/>
            </w:pPr>
            <w:r>
              <w:t>62</w:t>
            </w:r>
          </w:p>
        </w:tc>
      </w:tr>
      <w:tr>
        <w:tc>
          <w:tcPr>
            <w:tcW w:type="dxa" w:w="3024"/>
          </w:tcPr>
          <w:p>
            <w:pPr>
              <w:jc w:val="center"/>
            </w:pPr>
            <w:r>
              <w:t xml:space="preserve">  Trace</w:t>
            </w:r>
          </w:p>
        </w:tc>
        <w:tc>
          <w:tcPr>
            <w:tcW w:type="dxa" w:w="648"/>
          </w:tcPr>
          <w:p>
            <w:pPr>
              <w:jc w:val="center"/>
            </w:pPr>
            <w:r>
              <w:t>0</w:t>
            </w:r>
          </w:p>
        </w:tc>
        <w:tc>
          <w:tcPr>
            <w:tcW w:type="dxa" w:w="648"/>
          </w:tcPr>
          <w:p>
            <w:pPr>
              <w:jc w:val="center"/>
            </w:pPr>
            <w:r>
              <w:t>1</w:t>
            </w:r>
          </w:p>
        </w:tc>
        <w:tc>
          <w:tcPr>
            <w:tcW w:type="dxa" w:w="648"/>
          </w:tcPr>
          <w:p>
            <w:pPr>
              <w:jc w:val="center"/>
            </w:pPr>
            <w:r>
              <w:t>1</w:t>
            </w:r>
          </w:p>
        </w:tc>
        <w:tc>
          <w:tcPr>
            <w:tcW w:type="dxa" w:w="648"/>
          </w:tcPr>
          <w:p>
            <w:pPr>
              <w:jc w:val="center"/>
            </w:pPr>
            <w:r>
              <w:t>0</w:t>
            </w:r>
          </w:p>
        </w:tc>
        <w:tc>
          <w:tcPr>
            <w:tcW w:type="dxa" w:w="648"/>
          </w:tcPr>
          <w:p>
            <w:pPr>
              <w:jc w:val="center"/>
            </w:pPr>
            <w:r>
              <w:t>0</w:t>
            </w:r>
          </w:p>
        </w:tc>
        <w:tc>
          <w:tcPr>
            <w:tcW w:type="dxa" w:w="504"/>
          </w:tcPr>
          <w:p>
            <w:pPr>
              <w:jc w:val="center"/>
            </w:pPr>
            <w:r>
              <w:t>0</w:t>
            </w:r>
          </w:p>
        </w:tc>
        <w:tc>
          <w:tcPr>
            <w:tcW w:type="dxa" w:w="792"/>
          </w:tcPr>
          <w:p>
            <w:pPr>
              <w:jc w:val="center"/>
            </w:pPr>
            <w:r>
              <w:t>2</w:t>
            </w:r>
          </w:p>
        </w:tc>
      </w:tr>
      <w:tr>
        <w:tc>
          <w:tcPr>
            <w:tcW w:type="dxa" w:w="3024"/>
          </w:tcPr>
          <w:p>
            <w:pPr>
              <w:jc w:val="center"/>
            </w:pPr>
            <w:r>
              <w:t xml:space="preserve">  Hand-authored</w:t>
            </w:r>
          </w:p>
        </w:tc>
        <w:tc>
          <w:tcPr>
            <w:tcW w:type="dxa" w:w="648"/>
          </w:tcPr>
          <w:p>
            <w:pPr>
              <w:jc w:val="center"/>
            </w:pPr>
            <w:r>
              <w:t>3</w:t>
            </w:r>
          </w:p>
        </w:tc>
        <w:tc>
          <w:tcPr>
            <w:tcW w:type="dxa" w:w="648"/>
          </w:tcPr>
          <w:p>
            <w:pPr>
              <w:jc w:val="center"/>
            </w:pPr>
            <w:r>
              <w:t>1</w:t>
            </w:r>
          </w:p>
        </w:tc>
        <w:tc>
          <w:tcPr>
            <w:tcW w:type="dxa" w:w="648"/>
          </w:tcPr>
          <w:p>
            <w:pPr>
              <w:jc w:val="center"/>
            </w:pPr>
            <w:r>
              <w:t>4</w:t>
            </w:r>
          </w:p>
        </w:tc>
        <w:tc>
          <w:tcPr>
            <w:tcW w:type="dxa" w:w="648"/>
          </w:tcPr>
          <w:p>
            <w:pPr>
              <w:jc w:val="center"/>
            </w:pPr>
            <w:r>
              <w:t>2</w:t>
            </w:r>
          </w:p>
        </w:tc>
        <w:tc>
          <w:tcPr>
            <w:tcW w:type="dxa" w:w="648"/>
          </w:tcPr>
          <w:p>
            <w:pPr>
              <w:jc w:val="center"/>
            </w:pPr>
            <w:r>
              <w:t>0</w:t>
            </w:r>
          </w:p>
        </w:tc>
        <w:tc>
          <w:tcPr>
            <w:tcW w:type="dxa" w:w="504"/>
          </w:tcPr>
          <w:p>
            <w:pPr>
              <w:jc w:val="center"/>
            </w:pPr>
            <w:r>
              <w:t>11</w:t>
            </w:r>
          </w:p>
        </w:tc>
        <w:tc>
          <w:tcPr>
            <w:tcW w:type="dxa" w:w="792"/>
          </w:tcPr>
          <w:p>
            <w:pPr>
              <w:jc w:val="center"/>
            </w:pPr>
            <w:r>
              <w:t>21</w:t>
            </w:r>
          </w:p>
        </w:tc>
      </w:tr>
      <w:tr>
        <w:tc>
          <w:tcPr>
            <w:tcW w:type="dxa" w:w="3024"/>
            <w:shd w:val="clear" w:color="auto" w:fill="BDD7EE"/>
          </w:tcPr>
          <w:p>
            <w:pPr>
              <w:jc w:val="center"/>
            </w:pPr>
            <w:r>
              <w:rPr>
                <w:b/>
              </w:rPr>
              <w:t>DEV — actual 27.2%  |  target 30%  |  Δ −2.8 pp</w:t>
            </w:r>
          </w:p>
        </w:tc>
        <w:tc>
          <w:tcPr>
            <w:tcW w:type="dxa" w:w="648"/>
            <w:shd w:val="clear" w:color="auto" w:fill="BDD7EE"/>
          </w:tcPr>
          <w:p>
            <w:pPr>
              <w:jc w:val="center"/>
            </w:pPr>
            <w:r>
              <w:rPr>
                <w:b/>
              </w:rPr>
              <w:t>22</w:t>
            </w:r>
          </w:p>
        </w:tc>
        <w:tc>
          <w:tcPr>
            <w:tcW w:type="dxa" w:w="648"/>
            <w:shd w:val="clear" w:color="auto" w:fill="BDD7EE"/>
          </w:tcPr>
          <w:p>
            <w:pPr>
              <w:jc w:val="center"/>
            </w:pPr>
            <w:r>
              <w:rPr>
                <w:b/>
              </w:rPr>
              <w:t>20</w:t>
            </w:r>
          </w:p>
        </w:tc>
        <w:tc>
          <w:tcPr>
            <w:tcW w:type="dxa" w:w="648"/>
            <w:shd w:val="clear" w:color="auto" w:fill="BDD7EE"/>
          </w:tcPr>
          <w:p>
            <w:pPr>
              <w:jc w:val="center"/>
            </w:pPr>
            <w:r>
              <w:rPr>
                <w:b/>
              </w:rPr>
              <w:t>24</w:t>
            </w:r>
          </w:p>
        </w:tc>
        <w:tc>
          <w:tcPr>
            <w:tcW w:type="dxa" w:w="648"/>
            <w:shd w:val="clear" w:color="auto" w:fill="BDD7EE"/>
          </w:tcPr>
          <w:p>
            <w:pPr>
              <w:jc w:val="center"/>
            </w:pPr>
            <w:r>
              <w:rPr>
                <w:b/>
              </w:rPr>
              <w:t>23</w:t>
            </w:r>
          </w:p>
        </w:tc>
        <w:tc>
          <w:tcPr>
            <w:tcW w:type="dxa" w:w="648"/>
            <w:shd w:val="clear" w:color="auto" w:fill="BDD7EE"/>
          </w:tcPr>
          <w:p>
            <w:pPr>
              <w:jc w:val="center"/>
            </w:pPr>
            <w:r>
              <w:rPr>
                <w:b/>
              </w:rPr>
              <w:t>18</w:t>
            </w:r>
          </w:p>
        </w:tc>
        <w:tc>
          <w:tcPr>
            <w:tcW w:type="dxa" w:w="504"/>
            <w:shd w:val="clear" w:color="auto" w:fill="BDD7EE"/>
          </w:tcPr>
          <w:p>
            <w:pPr>
              <w:jc w:val="center"/>
            </w:pPr>
            <w:r>
              <w:rPr>
                <w:b/>
              </w:rPr>
              <w:t>4</w:t>
            </w:r>
          </w:p>
        </w:tc>
        <w:tc>
          <w:tcPr>
            <w:tcW w:type="dxa" w:w="792"/>
            <w:shd w:val="clear" w:color="auto" w:fill="BDD7EE"/>
          </w:tcPr>
          <w:p>
            <w:pPr>
              <w:jc w:val="center"/>
            </w:pPr>
            <w:r>
              <w:rPr>
                <w:b/>
              </w:rPr>
              <w:t>111</w:t>
            </w:r>
          </w:p>
        </w:tc>
      </w:tr>
      <w:tr>
        <w:tc>
          <w:tcPr>
            <w:tcW w:type="dxa" w:w="3024"/>
          </w:tcPr>
          <w:p>
            <w:pPr>
              <w:jc w:val="center"/>
            </w:pPr>
            <w:r>
              <w:t xml:space="preserve">  Programmatic</w:t>
            </w:r>
          </w:p>
        </w:tc>
        <w:tc>
          <w:tcPr>
            <w:tcW w:type="dxa" w:w="648"/>
          </w:tcPr>
          <w:p>
            <w:pPr>
              <w:jc w:val="center"/>
            </w:pPr>
            <w:r>
              <w:t>18</w:t>
            </w:r>
          </w:p>
        </w:tc>
        <w:tc>
          <w:tcPr>
            <w:tcW w:type="dxa" w:w="648"/>
          </w:tcPr>
          <w:p>
            <w:pPr>
              <w:jc w:val="center"/>
            </w:pPr>
            <w:r>
              <w:t>18</w:t>
            </w:r>
          </w:p>
        </w:tc>
        <w:tc>
          <w:tcPr>
            <w:tcW w:type="dxa" w:w="648"/>
          </w:tcPr>
          <w:p>
            <w:pPr>
              <w:jc w:val="center"/>
            </w:pPr>
            <w:r>
              <w:t>18</w:t>
            </w:r>
          </w:p>
        </w:tc>
        <w:tc>
          <w:tcPr>
            <w:tcW w:type="dxa" w:w="648"/>
          </w:tcPr>
          <w:p>
            <w:pPr>
              <w:jc w:val="center"/>
            </w:pPr>
            <w:r>
              <w:t>18</w:t>
            </w:r>
          </w:p>
        </w:tc>
        <w:tc>
          <w:tcPr>
            <w:tcW w:type="dxa" w:w="648"/>
          </w:tcPr>
          <w:p>
            <w:pPr>
              <w:jc w:val="center"/>
            </w:pPr>
            <w:r>
              <w:t>18</w:t>
            </w:r>
          </w:p>
        </w:tc>
        <w:tc>
          <w:tcPr>
            <w:tcW w:type="dxa" w:w="504"/>
          </w:tcPr>
          <w:p>
            <w:pPr>
              <w:jc w:val="center"/>
            </w:pPr>
            <w:r>
              <w:t>0</w:t>
            </w:r>
          </w:p>
        </w:tc>
        <w:tc>
          <w:tcPr>
            <w:tcW w:type="dxa" w:w="792"/>
          </w:tcPr>
          <w:p>
            <w:pPr>
              <w:jc w:val="center"/>
            </w:pPr>
            <w:r>
              <w:t>90</w:t>
            </w:r>
          </w:p>
        </w:tc>
      </w:tr>
      <w:tr>
        <w:tc>
          <w:tcPr>
            <w:tcW w:type="dxa" w:w="3024"/>
          </w:tcPr>
          <w:p>
            <w:pPr>
              <w:jc w:val="center"/>
            </w:pPr>
            <w:r>
              <w:t xml:space="preserve">  Synthesis</w:t>
            </w:r>
          </w:p>
        </w:tc>
        <w:tc>
          <w:tcPr>
            <w:tcW w:type="dxa" w:w="648"/>
          </w:tcPr>
          <w:p>
            <w:pPr>
              <w:jc w:val="center"/>
            </w:pPr>
            <w:r>
              <w:t>2</w:t>
            </w:r>
          </w:p>
        </w:tc>
        <w:tc>
          <w:tcPr>
            <w:tcW w:type="dxa" w:w="648"/>
          </w:tcPr>
          <w:p>
            <w:pPr>
              <w:jc w:val="center"/>
            </w:pPr>
            <w:r>
              <w:t>1</w:t>
            </w:r>
          </w:p>
        </w:tc>
        <w:tc>
          <w:tcPr>
            <w:tcW w:type="dxa" w:w="648"/>
          </w:tcPr>
          <w:p>
            <w:pPr>
              <w:jc w:val="center"/>
            </w:pPr>
            <w:r>
              <w:t>6</w:t>
            </w:r>
          </w:p>
        </w:tc>
        <w:tc>
          <w:tcPr>
            <w:tcW w:type="dxa" w:w="648"/>
          </w:tcPr>
          <w:p>
            <w:pPr>
              <w:jc w:val="center"/>
            </w:pPr>
            <w:r>
              <w:t>3</w:t>
            </w:r>
          </w:p>
        </w:tc>
        <w:tc>
          <w:tcPr>
            <w:tcW w:type="dxa" w:w="648"/>
          </w:tcPr>
          <w:p>
            <w:pPr>
              <w:jc w:val="center"/>
            </w:pPr>
            <w:r>
              <w:t>0</w:t>
            </w:r>
          </w:p>
        </w:tc>
        <w:tc>
          <w:tcPr>
            <w:tcW w:type="dxa" w:w="504"/>
          </w:tcPr>
          <w:p>
            <w:pPr>
              <w:jc w:val="center"/>
            </w:pPr>
            <w:r>
              <w:t>0</w:t>
            </w:r>
          </w:p>
        </w:tc>
        <w:tc>
          <w:tcPr>
            <w:tcW w:type="dxa" w:w="792"/>
          </w:tcPr>
          <w:p>
            <w:pPr>
              <w:jc w:val="center"/>
            </w:pPr>
            <w:r>
              <w:t>12</w:t>
            </w:r>
          </w:p>
        </w:tc>
      </w:tr>
      <w:tr>
        <w:tc>
          <w:tcPr>
            <w:tcW w:type="dxa" w:w="3024"/>
          </w:tcPr>
          <w:p>
            <w:pPr>
              <w:jc w:val="center"/>
            </w:pPr>
            <w:r>
              <w:t xml:space="preserve">  Trace</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504"/>
          </w:tcPr>
          <w:p>
            <w:pPr>
              <w:jc w:val="center"/>
            </w:pPr>
            <w:r>
              <w:t>2</w:t>
            </w:r>
          </w:p>
        </w:tc>
        <w:tc>
          <w:tcPr>
            <w:tcW w:type="dxa" w:w="792"/>
          </w:tcPr>
          <w:p>
            <w:pPr>
              <w:jc w:val="center"/>
            </w:pPr>
            <w:r>
              <w:t>2</w:t>
            </w:r>
          </w:p>
        </w:tc>
      </w:tr>
      <w:tr>
        <w:tc>
          <w:tcPr>
            <w:tcW w:type="dxa" w:w="3024"/>
          </w:tcPr>
          <w:p>
            <w:pPr>
              <w:jc w:val="center"/>
            </w:pPr>
            <w:r>
              <w:t xml:space="preserve">  Hand-authored</w:t>
            </w:r>
          </w:p>
        </w:tc>
        <w:tc>
          <w:tcPr>
            <w:tcW w:type="dxa" w:w="648"/>
          </w:tcPr>
          <w:p>
            <w:pPr>
              <w:jc w:val="center"/>
            </w:pPr>
            <w:r>
              <w:t>2</w:t>
            </w:r>
          </w:p>
        </w:tc>
        <w:tc>
          <w:tcPr>
            <w:tcW w:type="dxa" w:w="648"/>
          </w:tcPr>
          <w:p>
            <w:pPr>
              <w:jc w:val="center"/>
            </w:pPr>
            <w:r>
              <w:t>1</w:t>
            </w:r>
          </w:p>
        </w:tc>
        <w:tc>
          <w:tcPr>
            <w:tcW w:type="dxa" w:w="648"/>
          </w:tcPr>
          <w:p>
            <w:pPr>
              <w:jc w:val="center"/>
            </w:pPr>
            <w:r>
              <w:t>0</w:t>
            </w:r>
          </w:p>
        </w:tc>
        <w:tc>
          <w:tcPr>
            <w:tcW w:type="dxa" w:w="648"/>
          </w:tcPr>
          <w:p>
            <w:pPr>
              <w:jc w:val="center"/>
            </w:pPr>
            <w:r>
              <w:t>2</w:t>
            </w:r>
          </w:p>
        </w:tc>
        <w:tc>
          <w:tcPr>
            <w:tcW w:type="dxa" w:w="648"/>
          </w:tcPr>
          <w:p>
            <w:pPr>
              <w:jc w:val="center"/>
            </w:pPr>
            <w:r>
              <w:t>0</w:t>
            </w:r>
          </w:p>
        </w:tc>
        <w:tc>
          <w:tcPr>
            <w:tcW w:type="dxa" w:w="504"/>
          </w:tcPr>
          <w:p>
            <w:pPr>
              <w:jc w:val="center"/>
            </w:pPr>
            <w:r>
              <w:t>2</w:t>
            </w:r>
          </w:p>
        </w:tc>
        <w:tc>
          <w:tcPr>
            <w:tcW w:type="dxa" w:w="792"/>
          </w:tcPr>
          <w:p>
            <w:pPr>
              <w:jc w:val="center"/>
            </w:pPr>
            <w:r>
              <w:t>7</w:t>
            </w:r>
          </w:p>
        </w:tc>
      </w:tr>
      <w:tr>
        <w:tc>
          <w:tcPr>
            <w:tcW w:type="dxa" w:w="3024"/>
            <w:shd w:val="clear" w:color="auto" w:fill="BDD7EE"/>
          </w:tcPr>
          <w:p>
            <w:pPr>
              <w:jc w:val="center"/>
            </w:pPr>
            <w:r>
              <w:rPr>
                <w:b/>
              </w:rPr>
              <w:t>HELD-OUT — actual 15.2%  |  target 20%  |  Δ −4.8 pp</w:t>
            </w:r>
          </w:p>
        </w:tc>
        <w:tc>
          <w:tcPr>
            <w:tcW w:type="dxa" w:w="648"/>
            <w:shd w:val="clear" w:color="auto" w:fill="BDD7EE"/>
          </w:tcPr>
          <w:p>
            <w:pPr>
              <w:jc w:val="center"/>
            </w:pPr>
            <w:r>
              <w:rPr>
                <w:b/>
              </w:rPr>
              <w:t>12</w:t>
            </w:r>
          </w:p>
        </w:tc>
        <w:tc>
          <w:tcPr>
            <w:tcW w:type="dxa" w:w="648"/>
            <w:shd w:val="clear" w:color="auto" w:fill="BDD7EE"/>
          </w:tcPr>
          <w:p>
            <w:pPr>
              <w:jc w:val="center"/>
            </w:pPr>
            <w:r>
              <w:rPr>
                <w:b/>
              </w:rPr>
              <w:t>12</w:t>
            </w:r>
          </w:p>
        </w:tc>
        <w:tc>
          <w:tcPr>
            <w:tcW w:type="dxa" w:w="648"/>
            <w:shd w:val="clear" w:color="auto" w:fill="BDD7EE"/>
          </w:tcPr>
          <w:p>
            <w:pPr>
              <w:jc w:val="center"/>
            </w:pPr>
            <w:r>
              <w:rPr>
                <w:b/>
              </w:rPr>
              <w:t>13</w:t>
            </w:r>
          </w:p>
        </w:tc>
        <w:tc>
          <w:tcPr>
            <w:tcW w:type="dxa" w:w="648"/>
            <w:shd w:val="clear" w:color="auto" w:fill="BDD7EE"/>
          </w:tcPr>
          <w:p>
            <w:pPr>
              <w:jc w:val="center"/>
            </w:pPr>
            <w:r>
              <w:rPr>
                <w:b/>
              </w:rPr>
              <w:t>12</w:t>
            </w:r>
          </w:p>
        </w:tc>
        <w:tc>
          <w:tcPr>
            <w:tcW w:type="dxa" w:w="648"/>
            <w:shd w:val="clear" w:color="auto" w:fill="BDD7EE"/>
          </w:tcPr>
          <w:p>
            <w:pPr>
              <w:jc w:val="center"/>
            </w:pPr>
            <w:r>
              <w:rPr>
                <w:b/>
              </w:rPr>
              <w:t>13</w:t>
            </w:r>
          </w:p>
        </w:tc>
        <w:tc>
          <w:tcPr>
            <w:tcW w:type="dxa" w:w="504"/>
            <w:shd w:val="clear" w:color="auto" w:fill="BDD7EE"/>
          </w:tcPr>
          <w:p>
            <w:pPr>
              <w:jc w:val="center"/>
            </w:pPr>
            <w:r>
              <w:rPr>
                <w:b/>
              </w:rPr>
              <w:t>0</w:t>
            </w:r>
          </w:p>
        </w:tc>
        <w:tc>
          <w:tcPr>
            <w:tcW w:type="dxa" w:w="792"/>
            <w:shd w:val="clear" w:color="auto" w:fill="BDD7EE"/>
          </w:tcPr>
          <w:p>
            <w:pPr>
              <w:jc w:val="center"/>
            </w:pPr>
            <w:r>
              <w:rPr>
                <w:b/>
              </w:rPr>
              <w:t>62</w:t>
            </w:r>
          </w:p>
        </w:tc>
      </w:tr>
      <w:tr>
        <w:tc>
          <w:tcPr>
            <w:tcW w:type="dxa" w:w="3024"/>
          </w:tcPr>
          <w:p>
            <w:pPr>
              <w:jc w:val="center"/>
            </w:pPr>
            <w:r>
              <w:t xml:space="preserve">  Programmatic</w:t>
            </w:r>
          </w:p>
        </w:tc>
        <w:tc>
          <w:tcPr>
            <w:tcW w:type="dxa" w:w="648"/>
          </w:tcPr>
          <w:p>
            <w:pPr>
              <w:jc w:val="center"/>
            </w:pPr>
            <w:r>
              <w:t>12</w:t>
            </w:r>
          </w:p>
        </w:tc>
        <w:tc>
          <w:tcPr>
            <w:tcW w:type="dxa" w:w="648"/>
          </w:tcPr>
          <w:p>
            <w:pPr>
              <w:jc w:val="center"/>
            </w:pPr>
            <w:r>
              <w:t>12</w:t>
            </w:r>
          </w:p>
        </w:tc>
        <w:tc>
          <w:tcPr>
            <w:tcW w:type="dxa" w:w="648"/>
          </w:tcPr>
          <w:p>
            <w:pPr>
              <w:jc w:val="center"/>
            </w:pPr>
            <w:r>
              <w:t>12</w:t>
            </w:r>
          </w:p>
        </w:tc>
        <w:tc>
          <w:tcPr>
            <w:tcW w:type="dxa" w:w="648"/>
          </w:tcPr>
          <w:p>
            <w:pPr>
              <w:jc w:val="center"/>
            </w:pPr>
            <w:r>
              <w:t>12</w:t>
            </w:r>
          </w:p>
        </w:tc>
        <w:tc>
          <w:tcPr>
            <w:tcW w:type="dxa" w:w="648"/>
          </w:tcPr>
          <w:p>
            <w:pPr>
              <w:jc w:val="center"/>
            </w:pPr>
            <w:r>
              <w:t>12</w:t>
            </w:r>
          </w:p>
        </w:tc>
        <w:tc>
          <w:tcPr>
            <w:tcW w:type="dxa" w:w="504"/>
          </w:tcPr>
          <w:p>
            <w:pPr>
              <w:jc w:val="center"/>
            </w:pPr>
            <w:r>
              <w:t>0</w:t>
            </w:r>
          </w:p>
        </w:tc>
        <w:tc>
          <w:tcPr>
            <w:tcW w:type="dxa" w:w="792"/>
          </w:tcPr>
          <w:p>
            <w:pPr>
              <w:jc w:val="center"/>
            </w:pPr>
            <w:r>
              <w:t>60</w:t>
            </w:r>
          </w:p>
        </w:tc>
      </w:tr>
      <w:tr>
        <w:tc>
          <w:tcPr>
            <w:tcW w:type="dxa" w:w="3024"/>
          </w:tcPr>
          <w:p>
            <w:pPr>
              <w:jc w:val="center"/>
            </w:pPr>
            <w:r>
              <w:t xml:space="preserve">  Synthesis</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504"/>
          </w:tcPr>
          <w:p>
            <w:pPr>
              <w:jc w:val="center"/>
            </w:pPr>
            <w:r>
              <w:t>0</w:t>
            </w:r>
          </w:p>
        </w:tc>
        <w:tc>
          <w:tcPr>
            <w:tcW w:type="dxa" w:w="792"/>
          </w:tcPr>
          <w:p>
            <w:pPr>
              <w:jc w:val="center"/>
            </w:pPr>
            <w:r>
              <w:t>0</w:t>
            </w:r>
          </w:p>
        </w:tc>
      </w:tr>
      <w:tr>
        <w:tc>
          <w:tcPr>
            <w:tcW w:type="dxa" w:w="3024"/>
          </w:tcPr>
          <w:p>
            <w:pPr>
              <w:jc w:val="center"/>
            </w:pPr>
            <w:r>
              <w:t xml:space="preserve">  Trace</w:t>
            </w:r>
          </w:p>
        </w:tc>
        <w:tc>
          <w:tcPr>
            <w:tcW w:type="dxa" w:w="648"/>
          </w:tcPr>
          <w:p>
            <w:pPr>
              <w:jc w:val="center"/>
            </w:pPr>
            <w:r>
              <w:t>0</w:t>
            </w:r>
          </w:p>
        </w:tc>
        <w:tc>
          <w:tcPr>
            <w:tcW w:type="dxa" w:w="648"/>
          </w:tcPr>
          <w:p>
            <w:pPr>
              <w:jc w:val="center"/>
            </w:pPr>
            <w:r>
              <w:t>0</w:t>
            </w:r>
          </w:p>
        </w:tc>
        <w:tc>
          <w:tcPr>
            <w:tcW w:type="dxa" w:w="648"/>
          </w:tcPr>
          <w:p>
            <w:pPr>
              <w:jc w:val="center"/>
            </w:pPr>
            <w:r>
              <w:t>1</w:t>
            </w:r>
          </w:p>
        </w:tc>
        <w:tc>
          <w:tcPr>
            <w:tcW w:type="dxa" w:w="648"/>
          </w:tcPr>
          <w:p>
            <w:pPr>
              <w:jc w:val="center"/>
            </w:pPr>
            <w:r>
              <w:t>0</w:t>
            </w:r>
          </w:p>
        </w:tc>
        <w:tc>
          <w:tcPr>
            <w:tcW w:type="dxa" w:w="648"/>
          </w:tcPr>
          <w:p>
            <w:pPr>
              <w:jc w:val="center"/>
            </w:pPr>
            <w:r>
              <w:t>0</w:t>
            </w:r>
          </w:p>
        </w:tc>
        <w:tc>
          <w:tcPr>
            <w:tcW w:type="dxa" w:w="504"/>
          </w:tcPr>
          <w:p>
            <w:pPr>
              <w:jc w:val="center"/>
            </w:pPr>
            <w:r>
              <w:t>0</w:t>
            </w:r>
          </w:p>
        </w:tc>
        <w:tc>
          <w:tcPr>
            <w:tcW w:type="dxa" w:w="792"/>
          </w:tcPr>
          <w:p>
            <w:pPr>
              <w:jc w:val="center"/>
            </w:pPr>
            <w:r>
              <w:t>1</w:t>
            </w:r>
          </w:p>
        </w:tc>
      </w:tr>
      <w:tr>
        <w:tc>
          <w:tcPr>
            <w:tcW w:type="dxa" w:w="3024"/>
          </w:tcPr>
          <w:p>
            <w:pPr>
              <w:jc w:val="center"/>
            </w:pPr>
            <w:r>
              <w:t xml:space="preserve">  Hand-authored</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648"/>
          </w:tcPr>
          <w:p>
            <w:pPr>
              <w:jc w:val="center"/>
            </w:pPr>
            <w:r>
              <w:t>0</w:t>
            </w:r>
          </w:p>
        </w:tc>
        <w:tc>
          <w:tcPr>
            <w:tcW w:type="dxa" w:w="648"/>
          </w:tcPr>
          <w:p>
            <w:pPr>
              <w:jc w:val="center"/>
            </w:pPr>
            <w:r>
              <w:t>1</w:t>
            </w:r>
          </w:p>
        </w:tc>
        <w:tc>
          <w:tcPr>
            <w:tcW w:type="dxa" w:w="504"/>
          </w:tcPr>
          <w:p>
            <w:pPr>
              <w:jc w:val="center"/>
            </w:pPr>
            <w:r>
              <w:t>0</w:t>
            </w:r>
          </w:p>
        </w:tc>
        <w:tc>
          <w:tcPr>
            <w:tcW w:type="dxa" w:w="792"/>
          </w:tcPr>
          <w:p>
            <w:pPr>
              <w:jc w:val="center"/>
            </w:pPr>
            <w:r>
              <w:t>1</w:t>
            </w:r>
          </w:p>
        </w:tc>
      </w:tr>
      <w:tr>
        <w:tc>
          <w:tcPr>
            <w:tcW w:type="dxa" w:w="3024"/>
            <w:shd w:val="clear" w:color="auto" w:fill="1F497D"/>
          </w:tcPr>
          <w:p>
            <w:pPr>
              <w:jc w:val="center"/>
            </w:pPr>
            <w:r>
              <w:rPr>
                <w:b/>
                <w:color w:val="FFFFFF"/>
              </w:rPr>
              <w:t>GRAND TOTAL</w:t>
            </w:r>
          </w:p>
        </w:tc>
        <w:tc>
          <w:tcPr>
            <w:tcW w:type="dxa" w:w="648"/>
            <w:shd w:val="clear" w:color="auto" w:fill="1F497D"/>
          </w:tcPr>
          <w:p>
            <w:pPr>
              <w:jc w:val="center"/>
            </w:pPr>
            <w:r>
              <w:rPr>
                <w:b/>
                <w:color w:val="FFFFFF"/>
              </w:rPr>
              <w:t>70</w:t>
            </w:r>
          </w:p>
        </w:tc>
        <w:tc>
          <w:tcPr>
            <w:tcW w:type="dxa" w:w="648"/>
            <w:shd w:val="clear" w:color="auto" w:fill="1F497D"/>
          </w:tcPr>
          <w:p>
            <w:pPr>
              <w:jc w:val="center"/>
            </w:pPr>
            <w:r>
              <w:rPr>
                <w:b/>
                <w:color w:val="FFFFFF"/>
              </w:rPr>
              <w:t>74</w:t>
            </w:r>
          </w:p>
        </w:tc>
        <w:tc>
          <w:tcPr>
            <w:tcW w:type="dxa" w:w="648"/>
            <w:shd w:val="clear" w:color="auto" w:fill="1F497D"/>
          </w:tcPr>
          <w:p>
            <w:pPr>
              <w:jc w:val="center"/>
            </w:pPr>
            <w:r>
              <w:rPr>
                <w:b/>
                <w:color w:val="FFFFFF"/>
              </w:rPr>
              <w:t>108</w:t>
            </w:r>
          </w:p>
        </w:tc>
        <w:tc>
          <w:tcPr>
            <w:tcW w:type="dxa" w:w="648"/>
            <w:shd w:val="clear" w:color="auto" w:fill="1F497D"/>
          </w:tcPr>
          <w:p>
            <w:pPr>
              <w:jc w:val="center"/>
            </w:pPr>
            <w:r>
              <w:rPr>
                <w:b/>
                <w:color w:val="FFFFFF"/>
              </w:rPr>
              <w:t>80</w:t>
            </w:r>
          </w:p>
        </w:tc>
        <w:tc>
          <w:tcPr>
            <w:tcW w:type="dxa" w:w="648"/>
            <w:shd w:val="clear" w:color="auto" w:fill="1F497D"/>
          </w:tcPr>
          <w:p>
            <w:pPr>
              <w:jc w:val="center"/>
            </w:pPr>
            <w:r>
              <w:rPr>
                <w:b/>
                <w:color w:val="FFFFFF"/>
              </w:rPr>
              <w:t>61</w:t>
            </w:r>
          </w:p>
        </w:tc>
        <w:tc>
          <w:tcPr>
            <w:tcW w:type="dxa" w:w="504"/>
            <w:shd w:val="clear" w:color="auto" w:fill="1F497D"/>
          </w:tcPr>
          <w:p>
            <w:pPr>
              <w:jc w:val="center"/>
            </w:pPr>
            <w:r>
              <w:rPr>
                <w:b/>
                <w:color w:val="FFFFFF"/>
              </w:rPr>
              <w:t>15</w:t>
            </w:r>
          </w:p>
        </w:tc>
        <w:tc>
          <w:tcPr>
            <w:tcW w:type="dxa" w:w="792"/>
            <w:shd w:val="clear" w:color="auto" w:fill="1F497D"/>
          </w:tcPr>
          <w:p>
            <w:pPr>
              <w:jc w:val="center"/>
            </w:pPr>
            <w:r>
              <w:rPr>
                <w:b/>
                <w:color w:val="FFFFFF"/>
              </w:rPr>
              <w:t>408</w:t>
            </w:r>
          </w:p>
        </w:tc>
      </w:tr>
    </w:tbl>
    <w:p/>
    <w:p>
      <w:pPr>
        <w:pStyle w:val="Heading2"/>
      </w:pPr>
      <w:r>
        <w:t>1.2 Partition and Source-Mode Targets vs. Actuals</w:t>
      </w:r>
    </w:p>
    <w:p>
      <w:r>
        <w:t>Challenge targets: partition 50/30/20 (train/dev/held-out); source-mode 30/30/25/15 (programmatic/synthesis/trace/hand-authored). Deviations explained below.</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448"/>
            <w:shd w:val="clear" w:color="auto" w:fill="1F497D"/>
          </w:tcPr>
          <w:p>
            <w:pPr>
              <w:jc w:val="center"/>
            </w:pPr>
            <w:r>
              <w:rPr>
                <w:b/>
                <w:color w:val="FFFFFF"/>
              </w:rPr>
              <w:t>Axis / Dimension</w:t>
            </w:r>
          </w:p>
        </w:tc>
        <w:tc>
          <w:tcPr>
            <w:tcW w:type="dxa" w:w="1296"/>
            <w:shd w:val="clear" w:color="auto" w:fill="1F497D"/>
          </w:tcPr>
          <w:p>
            <w:pPr>
              <w:jc w:val="center"/>
            </w:pPr>
            <w:r>
              <w:rPr>
                <w:b/>
                <w:color w:val="FFFFFF"/>
              </w:rPr>
              <w:t>Target</w:t>
            </w:r>
          </w:p>
        </w:tc>
        <w:tc>
          <w:tcPr>
            <w:tcW w:type="dxa" w:w="1296"/>
            <w:shd w:val="clear" w:color="auto" w:fill="1F497D"/>
          </w:tcPr>
          <w:p>
            <w:pPr>
              <w:jc w:val="center"/>
            </w:pPr>
            <w:r>
              <w:rPr>
                <w:b/>
                <w:color w:val="FFFFFF"/>
              </w:rPr>
              <w:t>Actual</w:t>
            </w:r>
          </w:p>
        </w:tc>
        <w:tc>
          <w:tcPr>
            <w:tcW w:type="dxa" w:w="1080"/>
            <w:shd w:val="clear" w:color="auto" w:fill="1F497D"/>
          </w:tcPr>
          <w:p>
            <w:pPr>
              <w:jc w:val="center"/>
            </w:pPr>
            <w:r>
              <w:rPr>
                <w:b/>
                <w:color w:val="FFFFFF"/>
              </w:rPr>
              <w:t>Δ</w:t>
            </w:r>
          </w:p>
        </w:tc>
        <w:tc>
          <w:tcPr>
            <w:tcW w:type="dxa" w:w="3672"/>
            <w:shd w:val="clear" w:color="auto" w:fill="1F497D"/>
          </w:tcPr>
          <w:p>
            <w:pPr>
              <w:jc w:val="center"/>
            </w:pPr>
            <w:r>
              <w:rPr>
                <w:b/>
                <w:color w:val="FFFFFF"/>
              </w:rPr>
              <w:t>Deviation rationale</w:t>
            </w:r>
          </w:p>
        </w:tc>
      </w:tr>
      <w:tr>
        <w:tc>
          <w:tcPr>
            <w:tcW w:type="dxa" w:w="2448"/>
          </w:tcPr>
          <w:p>
            <w:pPr>
              <w:jc w:val="center"/>
            </w:pPr>
            <w:r>
              <w:t>Partition — Train</w:t>
            </w:r>
          </w:p>
        </w:tc>
        <w:tc>
          <w:tcPr>
            <w:tcW w:type="dxa" w:w="1296"/>
          </w:tcPr>
          <w:p>
            <w:pPr>
              <w:jc w:val="center"/>
            </w:pPr>
            <w:r>
              <w:t>50% (204)</w:t>
            </w:r>
          </w:p>
        </w:tc>
        <w:tc>
          <w:tcPr>
            <w:tcW w:type="dxa" w:w="1296"/>
          </w:tcPr>
          <w:p>
            <w:pPr>
              <w:jc w:val="center"/>
            </w:pPr>
            <w:r>
              <w:t>57.6% (235)</w:t>
            </w:r>
          </w:p>
        </w:tc>
        <w:tc>
          <w:tcPr>
            <w:tcW w:type="dxa" w:w="1080"/>
          </w:tcPr>
          <w:p>
            <w:pPr>
              <w:jc w:val="center"/>
            </w:pPr>
            <w:r>
              <w:t>+7.6 pp</w:t>
            </w:r>
          </w:p>
        </w:tc>
        <w:tc>
          <w:tcPr>
            <w:tcW w:type="dxa" w:w="3672"/>
          </w:tcPr>
          <w:p>
            <w:pPr>
              <w:jc w:val="center"/>
            </w:pPr>
            <w:r>
              <w:t>24 hand-authored + 18 synthesis tasks added post-IRA pushed train above 50%</w:t>
            </w:r>
          </w:p>
        </w:tc>
      </w:tr>
      <w:tr>
        <w:tc>
          <w:tcPr>
            <w:tcW w:type="dxa" w:w="2448"/>
          </w:tcPr>
          <w:p>
            <w:pPr>
              <w:jc w:val="center"/>
            </w:pPr>
            <w:r>
              <w:t>Partition — Dev</w:t>
            </w:r>
          </w:p>
        </w:tc>
        <w:tc>
          <w:tcPr>
            <w:tcW w:type="dxa" w:w="1296"/>
          </w:tcPr>
          <w:p>
            <w:pPr>
              <w:jc w:val="center"/>
            </w:pPr>
            <w:r>
              <w:t>30% (122)</w:t>
            </w:r>
          </w:p>
        </w:tc>
        <w:tc>
          <w:tcPr>
            <w:tcW w:type="dxa" w:w="1296"/>
          </w:tcPr>
          <w:p>
            <w:pPr>
              <w:jc w:val="center"/>
            </w:pPr>
            <w:r>
              <w:t>27.2% (111)</w:t>
            </w:r>
          </w:p>
        </w:tc>
        <w:tc>
          <w:tcPr>
            <w:tcW w:type="dxa" w:w="1080"/>
          </w:tcPr>
          <w:p>
            <w:pPr>
              <w:jc w:val="center"/>
            </w:pPr>
            <w:r>
              <w:t>−2.8 pp</w:t>
            </w:r>
          </w:p>
        </w:tc>
        <w:tc>
          <w:tcPr>
            <w:tcW w:type="dxa" w:w="3672"/>
          </w:tcPr>
          <w:p>
            <w:pPr>
              <w:jc w:val="center"/>
            </w:pPr>
            <w:r>
              <w:t>6 hand-authored added to dev; still near target</w:t>
            </w:r>
          </w:p>
        </w:tc>
      </w:tr>
      <w:tr>
        <w:tc>
          <w:tcPr>
            <w:tcW w:type="dxa" w:w="2448"/>
          </w:tcPr>
          <w:p>
            <w:pPr>
              <w:jc w:val="center"/>
            </w:pPr>
            <w:r>
              <w:t>Partition — Held-out</w:t>
            </w:r>
          </w:p>
        </w:tc>
        <w:tc>
          <w:tcPr>
            <w:tcW w:type="dxa" w:w="1296"/>
          </w:tcPr>
          <w:p>
            <w:pPr>
              <w:jc w:val="center"/>
            </w:pPr>
            <w:r>
              <w:t>20%  (82)</w:t>
            </w:r>
          </w:p>
        </w:tc>
        <w:tc>
          <w:tcPr>
            <w:tcW w:type="dxa" w:w="1296"/>
          </w:tcPr>
          <w:p>
            <w:pPr>
              <w:jc w:val="center"/>
            </w:pPr>
            <w:r>
              <w:t>15.2%  (62)</w:t>
            </w:r>
          </w:p>
        </w:tc>
        <w:tc>
          <w:tcPr>
            <w:tcW w:type="dxa" w:w="1080"/>
          </w:tcPr>
          <w:p>
            <w:pPr>
              <w:jc w:val="center"/>
            </w:pPr>
            <w:r>
              <w:t>−4.8 pp</w:t>
            </w:r>
          </w:p>
        </w:tc>
        <w:tc>
          <w:tcPr>
            <w:tcW w:type="dxa" w:w="3672"/>
          </w:tcPr>
          <w:p>
            <w:pPr>
              <w:jc w:val="center"/>
            </w:pPr>
            <w:r>
              <w:t>Sealed at 62 after programmatic run; absolute task count is sufficient</w:t>
            </w:r>
          </w:p>
        </w:tc>
      </w:tr>
      <w:tr>
        <w:tc>
          <w:tcPr>
            <w:tcW w:type="dxa" w:w="2448"/>
          </w:tcPr>
          <w:p>
            <w:pPr>
              <w:jc w:val="center"/>
            </w:pPr>
            <w:r>
              <w:t>Source — Programmatic</w:t>
            </w:r>
          </w:p>
        </w:tc>
        <w:tc>
          <w:tcPr>
            <w:tcW w:type="dxa" w:w="1296"/>
          </w:tcPr>
          <w:p>
            <w:pPr>
              <w:jc w:val="center"/>
            </w:pPr>
            <w:r>
              <w:t>30% (122)</w:t>
            </w:r>
          </w:p>
        </w:tc>
        <w:tc>
          <w:tcPr>
            <w:tcW w:type="dxa" w:w="1296"/>
          </w:tcPr>
          <w:p>
            <w:pPr>
              <w:jc w:val="center"/>
            </w:pPr>
            <w:r>
              <w:t>73.5% (300)</w:t>
            </w:r>
          </w:p>
        </w:tc>
        <w:tc>
          <w:tcPr>
            <w:tcW w:type="dxa" w:w="1080"/>
          </w:tcPr>
          <w:p>
            <w:pPr>
              <w:jc w:val="center"/>
            </w:pPr>
            <w:r>
              <w:t>+43.5 pp</w:t>
            </w:r>
          </w:p>
        </w:tc>
        <w:tc>
          <w:tcPr>
            <w:tcW w:type="dxa" w:w="3672"/>
          </w:tcPr>
          <w:p>
            <w:pPr>
              <w:jc w:val="center"/>
            </w:pPr>
            <w:r>
              <w:t>Intentional: systematic failure-class coverage, zero API cost, no judge latency</w:t>
            </w:r>
          </w:p>
        </w:tc>
      </w:tr>
      <w:tr>
        <w:tc>
          <w:tcPr>
            <w:tcW w:type="dxa" w:w="2448"/>
          </w:tcPr>
          <w:p>
            <w:pPr>
              <w:jc w:val="center"/>
            </w:pPr>
            <w:r>
              <w:t>Source — Multi-LLM synthesis</w:t>
            </w:r>
          </w:p>
        </w:tc>
        <w:tc>
          <w:tcPr>
            <w:tcW w:type="dxa" w:w="1296"/>
          </w:tcPr>
          <w:p>
            <w:pPr>
              <w:jc w:val="center"/>
            </w:pPr>
            <w:r>
              <w:t>30% (122)</w:t>
            </w:r>
          </w:p>
        </w:tc>
        <w:tc>
          <w:tcPr>
            <w:tcW w:type="dxa" w:w="1296"/>
          </w:tcPr>
          <w:p>
            <w:pPr>
              <w:jc w:val="center"/>
            </w:pPr>
            <w:r>
              <w:t>18.1%  (74)</w:t>
            </w:r>
          </w:p>
        </w:tc>
        <w:tc>
          <w:tcPr>
            <w:tcW w:type="dxa" w:w="1080"/>
          </w:tcPr>
          <w:p>
            <w:pPr>
              <w:jc w:val="center"/>
            </w:pPr>
            <w:r>
              <w:t>−11.9 pp</w:t>
            </w:r>
          </w:p>
        </w:tc>
        <w:tc>
          <w:tcPr>
            <w:tcW w:type="dxa" w:w="3672"/>
          </w:tcPr>
          <w:p>
            <w:pPr>
              <w:jc w:val="center"/>
            </w:pPr>
            <w:r>
              <w:t>API cost and DeepSeek+LLaMA judge latency limited volume to 74 tasks</w:t>
            </w:r>
          </w:p>
        </w:tc>
      </w:tr>
      <w:tr>
        <w:tc>
          <w:tcPr>
            <w:tcW w:type="dxa" w:w="2448"/>
          </w:tcPr>
          <w:p>
            <w:pPr>
              <w:jc w:val="center"/>
            </w:pPr>
            <w:r>
              <w:t>Source — Trace-derived</w:t>
            </w:r>
          </w:p>
        </w:tc>
        <w:tc>
          <w:tcPr>
            <w:tcW w:type="dxa" w:w="1296"/>
          </w:tcPr>
          <w:p>
            <w:pPr>
              <w:jc w:val="center"/>
            </w:pPr>
            <w:r>
              <w:t>25% (102)</w:t>
            </w:r>
          </w:p>
        </w:tc>
        <w:tc>
          <w:tcPr>
            <w:tcW w:type="dxa" w:w="1296"/>
          </w:tcPr>
          <w:p>
            <w:pPr>
              <w:jc w:val="center"/>
            </w:pPr>
            <w:r>
              <w:t>1.2%   (5)</w:t>
            </w:r>
          </w:p>
        </w:tc>
        <w:tc>
          <w:tcPr>
            <w:tcW w:type="dxa" w:w="1080"/>
          </w:tcPr>
          <w:p>
            <w:pPr>
              <w:jc w:val="center"/>
            </w:pPr>
            <w:r>
              <w:t>−23.8 pp</w:t>
            </w:r>
          </w:p>
        </w:tc>
        <w:tc>
          <w:tcPr>
            <w:tcW w:type="dxa" w:w="3672"/>
          </w:tcPr>
          <w:p>
            <w:pPr>
              <w:jc w:val="center"/>
            </w:pPr>
            <w:r>
              <w:t>Structural constraint: only 5 real Week 10 traces available in trace_log.jsonl</w:t>
            </w:r>
          </w:p>
        </w:tc>
      </w:tr>
      <w:tr>
        <w:tc>
          <w:tcPr>
            <w:tcW w:type="dxa" w:w="2448"/>
          </w:tcPr>
          <w:p>
            <w:pPr>
              <w:jc w:val="center"/>
            </w:pPr>
            <w:r>
              <w:t>Source — Hand-authored</w:t>
            </w:r>
          </w:p>
        </w:tc>
        <w:tc>
          <w:tcPr>
            <w:tcW w:type="dxa" w:w="1296"/>
          </w:tcPr>
          <w:p>
            <w:pPr>
              <w:jc w:val="center"/>
            </w:pPr>
            <w:r>
              <w:t>15%  (61)</w:t>
            </w:r>
          </w:p>
        </w:tc>
        <w:tc>
          <w:tcPr>
            <w:tcW w:type="dxa" w:w="1296"/>
          </w:tcPr>
          <w:p>
            <w:pPr>
              <w:jc w:val="center"/>
            </w:pPr>
            <w:r>
              <w:t>7.1%  (29)</w:t>
            </w:r>
          </w:p>
        </w:tc>
        <w:tc>
          <w:tcPr>
            <w:tcW w:type="dxa" w:w="1080"/>
          </w:tcPr>
          <w:p>
            <w:pPr>
              <w:jc w:val="center"/>
            </w:pPr>
            <w:r>
              <w:t>−7.9 pp</w:t>
            </w:r>
          </w:p>
        </w:tc>
        <w:tc>
          <w:tcPr>
            <w:tcW w:type="dxa" w:w="3672"/>
          </w:tcPr>
          <w:p>
            <w:pPr>
              <w:jc w:val="center"/>
            </w:pPr>
            <w:r>
              <w:t>Time-intensive; 29 tasks = 12 GOOD + 12 BAD (Style Guide v2) + 5 adversarial</w:t>
            </w:r>
          </w:p>
        </w:tc>
      </w:tr>
    </w:tbl>
    <w:p/>
    <w:p>
      <w:pPr>
        <w:pStyle w:val="Heading2"/>
      </w:pPr>
      <w:r>
        <w:t>1.3 Rubric Dimensions</w:t>
      </w:r>
    </w:p>
    <w:p>
      <w:r>
        <w:t>Every task is scored on five machine-verifiable dimensions. Pass threshold: 0.75 (weighted sum). Each dimension returns 0 or 1 — no partial credit.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F497D"/>
          </w:tcPr>
          <w:p>
            <w:pPr>
              <w:jc w:val="center"/>
            </w:pPr>
            <w:r>
              <w:rPr>
                <w:b/>
                <w:color w:val="FFFFFF"/>
              </w:rPr>
              <w:t>Dimension</w:t>
            </w:r>
          </w:p>
        </w:tc>
        <w:tc>
          <w:tcPr>
            <w:tcW w:type="dxa" w:w="864"/>
            <w:shd w:val="clear" w:color="auto" w:fill="1F497D"/>
          </w:tcPr>
          <w:p>
            <w:pPr>
              <w:jc w:val="center"/>
            </w:pPr>
            <w:r>
              <w:rPr>
                <w:b/>
                <w:color w:val="FFFFFF"/>
              </w:rPr>
              <w:t>Weight</w:t>
            </w:r>
          </w:p>
        </w:tc>
        <w:tc>
          <w:tcPr>
            <w:tcW w:type="dxa" w:w="2592"/>
            <w:shd w:val="clear" w:color="auto" w:fill="1F497D"/>
          </w:tcPr>
          <w:p>
            <w:pPr>
              <w:jc w:val="center"/>
            </w:pPr>
            <w:r>
              <w:rPr>
                <w:b/>
                <w:color w:val="FFFFFF"/>
              </w:rPr>
              <w:t>What it checks</w:t>
            </w:r>
          </w:p>
        </w:tc>
        <w:tc>
          <w:tcPr>
            <w:tcW w:type="dxa" w:w="3312"/>
            <w:shd w:val="clear" w:color="auto" w:fill="1F497D"/>
          </w:tcPr>
          <w:p>
            <w:pPr>
              <w:jc w:val="center"/>
            </w:pPr>
            <w:r>
              <w:rPr>
                <w:b/>
                <w:color w:val="FFFFFF"/>
              </w:rPr>
              <w:t>Scorer mechanism</w:t>
            </w:r>
          </w:p>
        </w:tc>
      </w:tr>
      <w:tr>
        <w:tc>
          <w:tcPr>
            <w:tcW w:type="dxa" w:w="2160"/>
          </w:tcPr>
          <w:p>
            <w:pPr>
              <w:jc w:val="center"/>
            </w:pPr>
            <w:r>
              <w:t>signal_fidelity</w:t>
            </w:r>
          </w:p>
        </w:tc>
        <w:tc>
          <w:tcPr>
            <w:tcW w:type="dxa" w:w="864"/>
          </w:tcPr>
          <w:p>
            <w:pPr>
              <w:jc w:val="center"/>
            </w:pPr>
            <w:r>
              <w:t>0.30</w:t>
            </w:r>
          </w:p>
        </w:tc>
        <w:tc>
          <w:tcPr>
            <w:tcW w:type="dxa" w:w="2592"/>
          </w:tcPr>
          <w:p>
            <w:pPr>
              <w:jc w:val="center"/>
            </w:pPr>
            <w:r>
              <w:t>No unsupported growth/funding claims</w:t>
            </w:r>
          </w:p>
        </w:tc>
        <w:tc>
          <w:tcPr>
            <w:tcW w:type="dxa" w:w="3312"/>
          </w:tcPr>
          <w:p>
            <w:pPr>
              <w:jc w:val="center"/>
            </w:pPr>
            <w:r>
              <w:t>32 regex patterns; STRONG_NEGATIVE_GROWTH_PATTERNS on hard-negative context</w:t>
            </w:r>
          </w:p>
        </w:tc>
      </w:tr>
      <w:tr>
        <w:tc>
          <w:tcPr>
            <w:tcW w:type="dxa" w:w="2160"/>
          </w:tcPr>
          <w:p>
            <w:pPr>
              <w:jc w:val="center"/>
            </w:pPr>
            <w:r>
              <w:t>tone_compliance</w:t>
            </w:r>
          </w:p>
        </w:tc>
        <w:tc>
          <w:tcPr>
            <w:tcW w:type="dxa" w:w="864"/>
          </w:tcPr>
          <w:p>
            <w:pPr>
              <w:jc w:val="center"/>
            </w:pPr>
            <w:r>
              <w:t>0.20</w:t>
            </w:r>
          </w:p>
        </w:tc>
        <w:tc>
          <w:tcPr>
            <w:tcW w:type="dxa" w:w="2592"/>
          </w:tcPr>
          <w:p>
            <w:pPr>
              <w:jc w:val="center"/>
            </w:pPr>
            <w:r>
              <w:t>Zero banned phrases; no 'bench' to prospect</w:t>
            </w:r>
          </w:p>
        </w:tc>
        <w:tc>
          <w:tcPr>
            <w:tcW w:type="dxa" w:w="3312"/>
          </w:tcPr>
          <w:p>
            <w:pPr>
              <w:jc w:val="center"/>
            </w:pPr>
            <w:r>
              <w:t>32-phrase substring list + \bbench\b word-boundary regex (Style Guide v2)</w:t>
            </w:r>
          </w:p>
        </w:tc>
      </w:tr>
      <w:tr>
        <w:tc>
          <w:tcPr>
            <w:tcW w:type="dxa" w:w="2160"/>
          </w:tcPr>
          <w:p>
            <w:pPr>
              <w:jc w:val="center"/>
            </w:pPr>
            <w:r>
              <w:t>segment_gate</w:t>
            </w:r>
          </w:p>
        </w:tc>
        <w:tc>
          <w:tcPr>
            <w:tcW w:type="dxa" w:w="864"/>
          </w:tcPr>
          <w:p>
            <w:pPr>
              <w:jc w:val="center"/>
            </w:pPr>
            <w:r>
              <w:t>0.20</w:t>
            </w:r>
          </w:p>
        </w:tc>
        <w:tc>
          <w:tcPr>
            <w:tcW w:type="dxa" w:w="2592"/>
          </w:tcPr>
          <w:p>
            <w:pPr>
              <w:jc w:val="center"/>
            </w:pPr>
            <w:r>
              <w:t>No Seg4 AI pitch when ai_maturity_score &lt; 2</w:t>
            </w:r>
          </w:p>
        </w:tc>
        <w:tc>
          <w:tcPr>
            <w:tcW w:type="dxa" w:w="3312"/>
          </w:tcPr>
          <w:p>
            <w:pPr>
              <w:jc w:val="center"/>
            </w:pPr>
            <w:r>
              <w:t>10 AI/LLM keyword list checked against ai_maturity_score field</w:t>
            </w:r>
          </w:p>
        </w:tc>
      </w:tr>
      <w:tr>
        <w:tc>
          <w:tcPr>
            <w:tcW w:type="dxa" w:w="2160"/>
          </w:tcPr>
          <w:p>
            <w:pPr>
              <w:jc w:val="center"/>
            </w:pPr>
            <w:r>
              <w:t>confidence_hedging</w:t>
            </w:r>
          </w:p>
        </w:tc>
        <w:tc>
          <w:tcPr>
            <w:tcW w:type="dxa" w:w="864"/>
          </w:tcPr>
          <w:p>
            <w:pPr>
              <w:jc w:val="center"/>
            </w:pPr>
            <w:r>
              <w:t>0.15</w:t>
            </w:r>
          </w:p>
        </w:tc>
        <w:tc>
          <w:tcPr>
            <w:tcW w:type="dxa" w:w="2592"/>
          </w:tcPr>
          <w:p>
            <w:pPr>
              <w:jc w:val="center"/>
            </w:pPr>
            <w:r>
              <w:t>Hedging present when icp_confidence=low or low_peer_count=True</w:t>
            </w:r>
          </w:p>
        </w:tc>
        <w:tc>
          <w:tcPr>
            <w:tcW w:type="dxa" w:w="3312"/>
          </w:tcPr>
          <w:p>
            <w:pPr>
              <w:jc w:val="center"/>
            </w:pPr>
            <w:r>
              <w:t>7 hedging keyword list; conditional on brief fields</w:t>
            </w:r>
          </w:p>
        </w:tc>
      </w:tr>
      <w:tr>
        <w:tc>
          <w:tcPr>
            <w:tcW w:type="dxa" w:w="2160"/>
          </w:tcPr>
          <w:p>
            <w:pPr>
              <w:jc w:val="center"/>
            </w:pPr>
            <w:r>
              <w:t>format_compliance</w:t>
            </w:r>
          </w:p>
        </w:tc>
        <w:tc>
          <w:tcPr>
            <w:tcW w:type="dxa" w:w="864"/>
          </w:tcPr>
          <w:p>
            <w:pPr>
              <w:jc w:val="center"/>
            </w:pPr>
            <w:r>
              <w:t>0.15</w:t>
            </w:r>
          </w:p>
        </w:tc>
        <w:tc>
          <w:tcPr>
            <w:tcW w:type="dxa" w:w="2592"/>
          </w:tcPr>
          <w:p>
            <w:pPr>
              <w:jc w:val="center"/>
            </w:pPr>
            <w:r>
              <w:t>[DRAFT] tag, subject ≤60 chars, body ≤120/200 words</w:t>
            </w:r>
          </w:p>
        </w:tc>
        <w:tc>
          <w:tcPr>
            <w:tcW w:type="dxa" w:w="3312"/>
          </w:tcPr>
          <w:p>
            <w:pPr>
              <w:jc w:val="center"/>
            </w:pPr>
            <w:r>
              <w:t>Substring check, len() on subject (excl. [DRAFT]), word count (warm-aware)</w:t>
            </w:r>
          </w:p>
        </w:tc>
      </w:tr>
    </w:tbl>
    <w:p/>
    <w:p>
      <w:pPr>
        <w:pStyle w:val="Heading1"/>
      </w:pPr>
      <w:r>
        <w:t>2. Inter-Rater Agreement (IRA)</w:t>
      </w:r>
    </w:p>
    <w:p>
      <w:r>
        <w:t>30-task stratified sample from the dev partition. Three raters: R1 (automated scorer, scoring_evaluator.py), R2 (LLaMA 3.1 8B via OpenRouter), R3 (human annotator, Melaku Y., 2026-04-29). Cohen's κ computed pairwise per dimension. Target: κ ≥ 0.75 overall. IRA result: PASS (overall R1 vs R3 κ = 0.77).</w:t>
      </w:r>
    </w:p>
    <w:p>
      <w:pPr>
        <w:pStyle w:val="Heading2"/>
      </w:pPr>
      <w:r>
        <w:t>2.1 R1 vs R2 Results (LLaMA 3.1 8B, two runs)</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2304"/>
            <w:shd w:val="clear" w:color="auto" w:fill="1F497D"/>
          </w:tcPr>
          <w:p>
            <w:pPr>
              <w:jc w:val="center"/>
            </w:pPr>
            <w:r>
              <w:rPr>
                <w:b/>
                <w:color w:val="FFFFFF"/>
              </w:rPr>
              <w:t>Dimension</w:t>
            </w:r>
          </w:p>
        </w:tc>
        <w:tc>
          <w:tcPr>
            <w:tcW w:type="dxa" w:w="1080"/>
            <w:shd w:val="clear" w:color="auto" w:fill="1F497D"/>
          </w:tcPr>
          <w:p>
            <w:pPr>
              <w:jc w:val="center"/>
            </w:pPr>
            <w:r>
              <w:rPr>
                <w:b/>
                <w:color w:val="FFFFFF"/>
              </w:rPr>
              <w:t>R1 pass%</w:t>
            </w:r>
          </w:p>
        </w:tc>
        <w:tc>
          <w:tcPr>
            <w:tcW w:type="dxa" w:w="1080"/>
            <w:shd w:val="clear" w:color="auto" w:fill="1F497D"/>
          </w:tcPr>
          <w:p>
            <w:pPr>
              <w:jc w:val="center"/>
            </w:pPr>
            <w:r>
              <w:rPr>
                <w:b/>
                <w:color w:val="FFFFFF"/>
              </w:rPr>
              <w:t>Run 1 κ</w:t>
            </w:r>
          </w:p>
        </w:tc>
        <w:tc>
          <w:tcPr>
            <w:tcW w:type="dxa" w:w="1080"/>
            <w:shd w:val="clear" w:color="auto" w:fill="1F497D"/>
          </w:tcPr>
          <w:p>
            <w:pPr>
              <w:jc w:val="center"/>
            </w:pPr>
            <w:r>
              <w:rPr>
                <w:b/>
                <w:color w:val="FFFFFF"/>
              </w:rPr>
              <w:t>Run 2 κ</w:t>
            </w:r>
          </w:p>
        </w:tc>
        <w:tc>
          <w:tcPr>
            <w:tcW w:type="dxa" w:w="1080"/>
            <w:shd w:val="clear" w:color="auto" w:fill="1F497D"/>
          </w:tcPr>
          <w:p>
            <w:pPr>
              <w:jc w:val="center"/>
            </w:pPr>
            <w:r>
              <w:rPr>
                <w:b/>
                <w:color w:val="FFFFFF"/>
              </w:rPr>
              <w:t>Target</w:t>
            </w:r>
          </w:p>
        </w:tc>
        <w:tc>
          <w:tcPr>
            <w:tcW w:type="dxa" w:w="2160"/>
            <w:shd w:val="clear" w:color="auto" w:fill="1F497D"/>
          </w:tcPr>
          <w:p>
            <w:pPr>
              <w:jc w:val="center"/>
            </w:pPr>
            <w:r>
              <w:rPr>
                <w:b/>
                <w:color w:val="FFFFFF"/>
              </w:rPr>
              <w:t>Status</w:t>
            </w:r>
          </w:p>
        </w:tc>
      </w:tr>
      <w:tr>
        <w:tc>
          <w:tcPr>
            <w:tcW w:type="dxa" w:w="2304"/>
          </w:tcPr>
          <w:p>
            <w:pPr>
              <w:jc w:val="center"/>
            </w:pPr>
            <w:r>
              <w:t>signal_fidelity</w:t>
            </w:r>
          </w:p>
        </w:tc>
        <w:tc>
          <w:tcPr>
            <w:tcW w:type="dxa" w:w="1080"/>
          </w:tcPr>
          <w:p>
            <w:pPr>
              <w:jc w:val="center"/>
            </w:pPr>
            <w:r>
              <w:t>100.0%</w:t>
            </w:r>
          </w:p>
        </w:tc>
        <w:tc>
          <w:tcPr>
            <w:tcW w:type="dxa" w:w="1080"/>
          </w:tcPr>
          <w:p>
            <w:pPr>
              <w:jc w:val="center"/>
            </w:pPr>
            <w:r>
              <w:t>0.00†</w:t>
            </w:r>
          </w:p>
        </w:tc>
        <w:tc>
          <w:tcPr>
            <w:tcW w:type="dxa" w:w="1080"/>
          </w:tcPr>
          <w:p>
            <w:pPr>
              <w:jc w:val="center"/>
            </w:pPr>
            <w:r>
              <w:t>0.00†</w:t>
            </w:r>
          </w:p>
        </w:tc>
        <w:tc>
          <w:tcPr>
            <w:tcW w:type="dxa" w:w="1080"/>
          </w:tcPr>
          <w:p>
            <w:pPr>
              <w:jc w:val="center"/>
            </w:pPr>
            <w:r>
              <w:t>≥ 0.70</w:t>
            </w:r>
          </w:p>
        </w:tc>
        <w:tc>
          <w:tcPr>
            <w:tcW w:type="dxa" w:w="2160"/>
          </w:tcPr>
          <w:p>
            <w:pPr>
              <w:jc w:val="center"/>
            </w:pPr>
            <w:r>
              <w:t>ARTIFACT</w:t>
            </w:r>
          </w:p>
        </w:tc>
      </w:tr>
      <w:tr>
        <w:tc>
          <w:tcPr>
            <w:tcW w:type="dxa" w:w="2304"/>
          </w:tcPr>
          <w:p>
            <w:pPr>
              <w:jc w:val="center"/>
            </w:pPr>
            <w:r>
              <w:t>tone_compliance</w:t>
            </w:r>
          </w:p>
        </w:tc>
        <w:tc>
          <w:tcPr>
            <w:tcW w:type="dxa" w:w="1080"/>
          </w:tcPr>
          <w:p>
            <w:pPr>
              <w:jc w:val="center"/>
            </w:pPr>
            <w:r>
              <w:t>86.7%</w:t>
            </w:r>
          </w:p>
        </w:tc>
        <w:tc>
          <w:tcPr>
            <w:tcW w:type="dxa" w:w="1080"/>
          </w:tcPr>
          <w:p>
            <w:pPr>
              <w:jc w:val="center"/>
            </w:pPr>
            <w:r>
              <w:t>1.00</w:t>
            </w:r>
          </w:p>
        </w:tc>
        <w:tc>
          <w:tcPr>
            <w:tcW w:type="dxa" w:w="1080"/>
          </w:tcPr>
          <w:p>
            <w:pPr>
              <w:jc w:val="center"/>
            </w:pPr>
            <w:r>
              <w:t>1.00</w:t>
            </w:r>
          </w:p>
        </w:tc>
        <w:tc>
          <w:tcPr>
            <w:tcW w:type="dxa" w:w="1080"/>
          </w:tcPr>
          <w:p>
            <w:pPr>
              <w:jc w:val="center"/>
            </w:pPr>
            <w:r>
              <w:t>≥ 0.80</w:t>
            </w:r>
          </w:p>
        </w:tc>
        <w:tc>
          <w:tcPr>
            <w:tcW w:type="dxa" w:w="2160"/>
          </w:tcPr>
          <w:p>
            <w:pPr>
              <w:jc w:val="center"/>
            </w:pPr>
            <w:r>
              <w:t>PASS</w:t>
            </w:r>
          </w:p>
        </w:tc>
      </w:tr>
      <w:tr>
        <w:tc>
          <w:tcPr>
            <w:tcW w:type="dxa" w:w="2304"/>
          </w:tcPr>
          <w:p>
            <w:pPr>
              <w:jc w:val="center"/>
            </w:pPr>
            <w:r>
              <w:t>segment_gate</w:t>
            </w:r>
          </w:p>
        </w:tc>
        <w:tc>
          <w:tcPr>
            <w:tcW w:type="dxa" w:w="1080"/>
          </w:tcPr>
          <w:p>
            <w:pPr>
              <w:jc w:val="center"/>
            </w:pPr>
            <w:r>
              <w:t>83.3%</w:t>
            </w:r>
          </w:p>
        </w:tc>
        <w:tc>
          <w:tcPr>
            <w:tcW w:type="dxa" w:w="1080"/>
          </w:tcPr>
          <w:p>
            <w:pPr>
              <w:jc w:val="center"/>
            </w:pPr>
            <w:r>
              <w:t>0.00†</w:t>
            </w:r>
          </w:p>
        </w:tc>
        <w:tc>
          <w:tcPr>
            <w:tcW w:type="dxa" w:w="1080"/>
          </w:tcPr>
          <w:p>
            <w:pPr>
              <w:jc w:val="center"/>
            </w:pPr>
            <w:r>
              <w:t>−0.27</w:t>
            </w:r>
          </w:p>
        </w:tc>
        <w:tc>
          <w:tcPr>
            <w:tcW w:type="dxa" w:w="1080"/>
          </w:tcPr>
          <w:p>
            <w:pPr>
              <w:jc w:val="center"/>
            </w:pPr>
            <w:r>
              <w:t>≥ 0.85</w:t>
            </w:r>
          </w:p>
        </w:tc>
        <w:tc>
          <w:tcPr>
            <w:tcW w:type="dxa" w:w="2160"/>
          </w:tcPr>
          <w:p>
            <w:pPr>
              <w:jc w:val="center"/>
            </w:pPr>
            <w:r>
              <w:t>ARTIFACT/FAIL</w:t>
            </w:r>
          </w:p>
        </w:tc>
      </w:tr>
      <w:tr>
        <w:tc>
          <w:tcPr>
            <w:tcW w:type="dxa" w:w="2304"/>
          </w:tcPr>
          <w:p>
            <w:pPr>
              <w:jc w:val="center"/>
            </w:pPr>
            <w:r>
              <w:t>confidence_hedging</w:t>
            </w:r>
          </w:p>
        </w:tc>
        <w:tc>
          <w:tcPr>
            <w:tcW w:type="dxa" w:w="1080"/>
          </w:tcPr>
          <w:p>
            <w:pPr>
              <w:jc w:val="center"/>
            </w:pPr>
            <w:r>
              <w:t>53.3%</w:t>
            </w:r>
          </w:p>
        </w:tc>
        <w:tc>
          <w:tcPr>
            <w:tcW w:type="dxa" w:w="1080"/>
          </w:tcPr>
          <w:p>
            <w:pPr>
              <w:jc w:val="center"/>
            </w:pPr>
            <w:r>
              <w:t>0.15</w:t>
            </w:r>
          </w:p>
        </w:tc>
        <w:tc>
          <w:tcPr>
            <w:tcW w:type="dxa" w:w="1080"/>
          </w:tcPr>
          <w:p>
            <w:pPr>
              <w:jc w:val="center"/>
            </w:pPr>
            <w:r>
              <w:t>0.08</w:t>
            </w:r>
          </w:p>
        </w:tc>
        <w:tc>
          <w:tcPr>
            <w:tcW w:type="dxa" w:w="1080"/>
          </w:tcPr>
          <w:p>
            <w:pPr>
              <w:jc w:val="center"/>
            </w:pPr>
            <w:r>
              <w:t>≥ 0.70</w:t>
            </w:r>
          </w:p>
        </w:tc>
        <w:tc>
          <w:tcPr>
            <w:tcW w:type="dxa" w:w="2160"/>
          </w:tcPr>
          <w:p>
            <w:pPr>
              <w:jc w:val="center"/>
            </w:pPr>
            <w:r>
              <w:t>FAIL</w:t>
            </w:r>
          </w:p>
        </w:tc>
      </w:tr>
      <w:tr>
        <w:tc>
          <w:tcPr>
            <w:tcW w:type="dxa" w:w="2304"/>
          </w:tcPr>
          <w:p>
            <w:pPr>
              <w:jc w:val="center"/>
            </w:pPr>
            <w:r>
              <w:t>format_compliance</w:t>
            </w:r>
          </w:p>
        </w:tc>
        <w:tc>
          <w:tcPr>
            <w:tcW w:type="dxa" w:w="1080"/>
          </w:tcPr>
          <w:p>
            <w:pPr>
              <w:jc w:val="center"/>
            </w:pPr>
            <w:r>
              <w:t>76.7%</w:t>
            </w:r>
          </w:p>
        </w:tc>
        <w:tc>
          <w:tcPr>
            <w:tcW w:type="dxa" w:w="1080"/>
          </w:tcPr>
          <w:p>
            <w:pPr>
              <w:jc w:val="center"/>
            </w:pPr>
            <w:r>
              <w:t>−0.06</w:t>
            </w:r>
          </w:p>
        </w:tc>
        <w:tc>
          <w:tcPr>
            <w:tcW w:type="dxa" w:w="1080"/>
          </w:tcPr>
          <w:p>
            <w:pPr>
              <w:jc w:val="center"/>
            </w:pPr>
            <w:r>
              <w:t>−0.30</w:t>
            </w:r>
          </w:p>
        </w:tc>
        <w:tc>
          <w:tcPr>
            <w:tcW w:type="dxa" w:w="1080"/>
          </w:tcPr>
          <w:p>
            <w:pPr>
              <w:jc w:val="center"/>
            </w:pPr>
            <w:r>
              <w:t>≥ 0.90</w:t>
            </w:r>
          </w:p>
        </w:tc>
        <w:tc>
          <w:tcPr>
            <w:tcW w:type="dxa" w:w="2160"/>
          </w:tcPr>
          <w:p>
            <w:pPr>
              <w:jc w:val="center"/>
            </w:pPr>
            <w:r>
              <w:t>FAIL</w:t>
            </w:r>
          </w:p>
        </w:tc>
      </w:tr>
      <w:tr>
        <w:tc>
          <w:tcPr>
            <w:tcW w:type="dxa" w:w="2304"/>
          </w:tcPr>
          <w:p>
            <w:pPr>
              <w:jc w:val="center"/>
            </w:pPr>
            <w:r>
              <w:t>Overall (≥0.75)</w:t>
            </w:r>
          </w:p>
        </w:tc>
        <w:tc>
          <w:tcPr>
            <w:tcW w:type="dxa" w:w="1080"/>
          </w:tcPr>
          <w:p>
            <w:pPr>
              <w:jc w:val="center"/>
            </w:pPr>
            <w:r>
              <w:t>73.3%</w:t>
            </w:r>
          </w:p>
        </w:tc>
        <w:tc>
          <w:tcPr>
            <w:tcW w:type="dxa" w:w="1080"/>
          </w:tcPr>
          <w:p>
            <w:pPr>
              <w:jc w:val="center"/>
            </w:pPr>
            <w:r>
              <w:t>0.26</w:t>
            </w:r>
          </w:p>
        </w:tc>
        <w:tc>
          <w:tcPr>
            <w:tcW w:type="dxa" w:w="1080"/>
          </w:tcPr>
          <w:p>
            <w:pPr>
              <w:jc w:val="center"/>
            </w:pPr>
            <w:r>
              <w:t>0.04</w:t>
            </w:r>
          </w:p>
        </w:tc>
        <w:tc>
          <w:tcPr>
            <w:tcW w:type="dxa" w:w="1080"/>
          </w:tcPr>
          <w:p>
            <w:pPr>
              <w:jc w:val="center"/>
            </w:pPr>
            <w:r>
              <w:t>≥ 0.75</w:t>
            </w:r>
          </w:p>
        </w:tc>
        <w:tc>
          <w:tcPr>
            <w:tcW w:type="dxa" w:w="2160"/>
          </w:tcPr>
          <w:p>
            <w:pPr>
              <w:jc w:val="center"/>
            </w:pPr>
            <w:r>
              <w:t>FAIL</w:t>
            </w:r>
          </w:p>
        </w:tc>
      </w:tr>
    </w:tbl>
    <w:p>
      <w:r>
        <w:t>† κ=0.00 is a statistical artifact when R1 has near-uniform scores (p_e ≈ p_o). Key finding: LLaMA 3.1 8B cannot reliably apply multi-step conditional rubric criteria. tone_compliance (pure lexical check) is the only stable dimension. A Claude Sonnet-class judge is required for κ ≥ 0.75 across all dimensions (v0.2 task).</w:t>
      </w:r>
    </w:p>
    <w:p/>
    <w:p>
      <w:pPr>
        <w:pStyle w:val="Heading2"/>
      </w:pPr>
      <w:r>
        <w:t>2.2 R3 Human Annotation Results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304"/>
            <w:shd w:val="clear" w:color="auto" w:fill="1F497D"/>
          </w:tcPr>
          <w:p>
            <w:pPr>
              <w:jc w:val="center"/>
            </w:pPr>
            <w:r>
              <w:rPr>
                <w:b/>
                <w:color w:val="FFFFFF"/>
              </w:rPr>
              <w:t>Dimension</w:t>
            </w:r>
          </w:p>
        </w:tc>
        <w:tc>
          <w:tcPr>
            <w:tcW w:type="dxa" w:w="1440"/>
            <w:shd w:val="clear" w:color="auto" w:fill="1F497D"/>
          </w:tcPr>
          <w:p>
            <w:pPr>
              <w:jc w:val="center"/>
            </w:pPr>
            <w:r>
              <w:rPr>
                <w:b/>
                <w:color w:val="FFFFFF"/>
              </w:rPr>
              <w:t>R1 vs R3 κ</w:t>
            </w:r>
          </w:p>
        </w:tc>
        <w:tc>
          <w:tcPr>
            <w:tcW w:type="dxa" w:w="1440"/>
            <w:shd w:val="clear" w:color="auto" w:fill="1F497D"/>
          </w:tcPr>
          <w:p>
            <w:pPr>
              <w:jc w:val="center"/>
            </w:pPr>
            <w:r>
              <w:rPr>
                <w:b/>
                <w:color w:val="FFFFFF"/>
              </w:rPr>
              <w:t>R2 vs R3 κ</w:t>
            </w:r>
          </w:p>
        </w:tc>
        <w:tc>
          <w:tcPr>
            <w:tcW w:type="dxa" w:w="1080"/>
            <w:shd w:val="clear" w:color="auto" w:fill="1F497D"/>
          </w:tcPr>
          <w:p>
            <w:pPr>
              <w:jc w:val="center"/>
            </w:pPr>
            <w:r>
              <w:rPr>
                <w:b/>
                <w:color w:val="FFFFFF"/>
              </w:rPr>
              <w:t>Target</w:t>
            </w:r>
          </w:p>
        </w:tc>
        <w:tc>
          <w:tcPr>
            <w:tcW w:type="dxa" w:w="2520"/>
            <w:shd w:val="clear" w:color="auto" w:fill="1F497D"/>
          </w:tcPr>
          <w:p>
            <w:pPr>
              <w:jc w:val="center"/>
            </w:pPr>
            <w:r>
              <w:rPr>
                <w:b/>
                <w:color w:val="FFFFFF"/>
              </w:rPr>
              <w:t>R1 Status</w:t>
            </w:r>
          </w:p>
        </w:tc>
      </w:tr>
      <w:tr>
        <w:tc>
          <w:tcPr>
            <w:tcW w:type="dxa" w:w="2304"/>
          </w:tcPr>
          <w:p>
            <w:pPr>
              <w:jc w:val="center"/>
            </w:pPr>
            <w:r>
              <w:t>signal_fidelity</w:t>
            </w:r>
          </w:p>
        </w:tc>
        <w:tc>
          <w:tcPr>
            <w:tcW w:type="dxa" w:w="1440"/>
          </w:tcPr>
          <w:p>
            <w:pPr>
              <w:jc w:val="center"/>
            </w:pPr>
            <w:r>
              <w:t>0.00†</w:t>
            </w:r>
          </w:p>
        </w:tc>
        <w:tc>
          <w:tcPr>
            <w:tcW w:type="dxa" w:w="1440"/>
          </w:tcPr>
          <w:p>
            <w:pPr>
              <w:jc w:val="center"/>
            </w:pPr>
            <w:r>
              <w:t>0.41</w:t>
            </w:r>
          </w:p>
        </w:tc>
        <w:tc>
          <w:tcPr>
            <w:tcW w:type="dxa" w:w="1080"/>
          </w:tcPr>
          <w:p>
            <w:pPr>
              <w:jc w:val="center"/>
            </w:pPr>
            <w:r>
              <w:t>≥ 0.70</w:t>
            </w:r>
          </w:p>
        </w:tc>
        <w:tc>
          <w:tcPr>
            <w:tcW w:type="dxa" w:w="2520"/>
          </w:tcPr>
          <w:p>
            <w:pPr>
              <w:jc w:val="center"/>
            </w:pPr>
            <w:r>
              <w:t>ARTIFACT</w:t>
            </w:r>
          </w:p>
        </w:tc>
      </w:tr>
      <w:tr>
        <w:tc>
          <w:tcPr>
            <w:tcW w:type="dxa" w:w="2304"/>
          </w:tcPr>
          <w:p>
            <w:pPr>
              <w:jc w:val="center"/>
            </w:pPr>
            <w:r>
              <w:t>tone_compliance</w:t>
            </w:r>
          </w:p>
        </w:tc>
        <w:tc>
          <w:tcPr>
            <w:tcW w:type="dxa" w:w="1440"/>
          </w:tcPr>
          <w:p>
            <w:pPr>
              <w:jc w:val="center"/>
            </w:pPr>
            <w:r>
              <w:t>1.00</w:t>
            </w:r>
          </w:p>
        </w:tc>
        <w:tc>
          <w:tcPr>
            <w:tcW w:type="dxa" w:w="1440"/>
          </w:tcPr>
          <w:p>
            <w:pPr>
              <w:jc w:val="center"/>
            </w:pPr>
            <w:r>
              <w:t>1.00</w:t>
            </w:r>
          </w:p>
        </w:tc>
        <w:tc>
          <w:tcPr>
            <w:tcW w:type="dxa" w:w="1080"/>
          </w:tcPr>
          <w:p>
            <w:pPr>
              <w:jc w:val="center"/>
            </w:pPr>
            <w:r>
              <w:t>≥ 0.80</w:t>
            </w:r>
          </w:p>
        </w:tc>
        <w:tc>
          <w:tcPr>
            <w:tcW w:type="dxa" w:w="2520"/>
          </w:tcPr>
          <w:p>
            <w:pPr>
              <w:jc w:val="center"/>
            </w:pPr>
            <w:r>
              <w:t>PASS</w:t>
            </w:r>
          </w:p>
        </w:tc>
      </w:tr>
      <w:tr>
        <w:tc>
          <w:tcPr>
            <w:tcW w:type="dxa" w:w="2304"/>
          </w:tcPr>
          <w:p>
            <w:pPr>
              <w:jc w:val="center"/>
            </w:pPr>
            <w:r>
              <w:t>segment_gate</w:t>
            </w:r>
          </w:p>
        </w:tc>
        <w:tc>
          <w:tcPr>
            <w:tcW w:type="dxa" w:w="1440"/>
          </w:tcPr>
          <w:p>
            <w:pPr>
              <w:jc w:val="center"/>
            </w:pPr>
            <w:r>
              <w:t>1.00</w:t>
            </w:r>
          </w:p>
        </w:tc>
        <w:tc>
          <w:tcPr>
            <w:tcW w:type="dxa" w:w="1440"/>
          </w:tcPr>
          <w:p>
            <w:pPr>
              <w:jc w:val="center"/>
            </w:pPr>
            <w:r>
              <w:t>−0.27</w:t>
            </w:r>
          </w:p>
        </w:tc>
        <w:tc>
          <w:tcPr>
            <w:tcW w:type="dxa" w:w="1080"/>
          </w:tcPr>
          <w:p>
            <w:pPr>
              <w:jc w:val="center"/>
            </w:pPr>
            <w:r>
              <w:t>≥ 0.85</w:t>
            </w:r>
          </w:p>
        </w:tc>
        <w:tc>
          <w:tcPr>
            <w:tcW w:type="dxa" w:w="2520"/>
          </w:tcPr>
          <w:p>
            <w:pPr>
              <w:jc w:val="center"/>
            </w:pPr>
            <w:r>
              <w:t>PASS</w:t>
            </w:r>
          </w:p>
        </w:tc>
      </w:tr>
      <w:tr>
        <w:tc>
          <w:tcPr>
            <w:tcW w:type="dxa" w:w="2304"/>
          </w:tcPr>
          <w:p>
            <w:pPr>
              <w:jc w:val="center"/>
            </w:pPr>
            <w:r>
              <w:t>confidence_hedging</w:t>
            </w:r>
          </w:p>
        </w:tc>
        <w:tc>
          <w:tcPr>
            <w:tcW w:type="dxa" w:w="1440"/>
          </w:tcPr>
          <w:p>
            <w:pPr>
              <w:jc w:val="center"/>
            </w:pPr>
            <w:r>
              <w:t>1.00</w:t>
            </w:r>
          </w:p>
        </w:tc>
        <w:tc>
          <w:tcPr>
            <w:tcW w:type="dxa" w:w="1440"/>
          </w:tcPr>
          <w:p>
            <w:pPr>
              <w:jc w:val="center"/>
            </w:pPr>
            <w:r>
              <w:t>0.08</w:t>
            </w:r>
          </w:p>
        </w:tc>
        <w:tc>
          <w:tcPr>
            <w:tcW w:type="dxa" w:w="1080"/>
          </w:tcPr>
          <w:p>
            <w:pPr>
              <w:jc w:val="center"/>
            </w:pPr>
            <w:r>
              <w:t>≥ 0.70</w:t>
            </w:r>
          </w:p>
        </w:tc>
        <w:tc>
          <w:tcPr>
            <w:tcW w:type="dxa" w:w="2520"/>
          </w:tcPr>
          <w:p>
            <w:pPr>
              <w:jc w:val="center"/>
            </w:pPr>
            <w:r>
              <w:t>PASS</w:t>
            </w:r>
          </w:p>
        </w:tc>
      </w:tr>
      <w:tr>
        <w:tc>
          <w:tcPr>
            <w:tcW w:type="dxa" w:w="2304"/>
          </w:tcPr>
          <w:p>
            <w:pPr>
              <w:jc w:val="center"/>
            </w:pPr>
            <w:r>
              <w:t>format_compliance</w:t>
            </w:r>
          </w:p>
        </w:tc>
        <w:tc>
          <w:tcPr>
            <w:tcW w:type="dxa" w:w="1440"/>
          </w:tcPr>
          <w:p>
            <w:pPr>
              <w:jc w:val="center"/>
            </w:pPr>
            <w:r>
              <w:t>1.00</w:t>
            </w:r>
          </w:p>
        </w:tc>
        <w:tc>
          <w:tcPr>
            <w:tcW w:type="dxa" w:w="1440"/>
          </w:tcPr>
          <w:p>
            <w:pPr>
              <w:jc w:val="center"/>
            </w:pPr>
            <w:r>
              <w:t>−0.30</w:t>
            </w:r>
          </w:p>
        </w:tc>
        <w:tc>
          <w:tcPr>
            <w:tcW w:type="dxa" w:w="1080"/>
          </w:tcPr>
          <w:p>
            <w:pPr>
              <w:jc w:val="center"/>
            </w:pPr>
            <w:r>
              <w:t>≥ 0.90</w:t>
            </w:r>
          </w:p>
        </w:tc>
        <w:tc>
          <w:tcPr>
            <w:tcW w:type="dxa" w:w="2520"/>
          </w:tcPr>
          <w:p>
            <w:pPr>
              <w:jc w:val="center"/>
            </w:pPr>
            <w:r>
              <w:t>PASS</w:t>
            </w:r>
          </w:p>
        </w:tc>
      </w:tr>
      <w:tr>
        <w:tc>
          <w:tcPr>
            <w:tcW w:type="dxa" w:w="2304"/>
          </w:tcPr>
          <w:p>
            <w:pPr>
              <w:jc w:val="center"/>
            </w:pPr>
            <w:r>
              <w:t>Overall (≥0.75)</w:t>
            </w:r>
          </w:p>
        </w:tc>
        <w:tc>
          <w:tcPr>
            <w:tcW w:type="dxa" w:w="1440"/>
          </w:tcPr>
          <w:p>
            <w:pPr>
              <w:jc w:val="center"/>
            </w:pPr>
            <w:r>
              <w:t>0.77</w:t>
            </w:r>
          </w:p>
        </w:tc>
        <w:tc>
          <w:tcPr>
            <w:tcW w:type="dxa" w:w="1440"/>
          </w:tcPr>
          <w:p>
            <w:pPr>
              <w:jc w:val="center"/>
            </w:pPr>
            <w:r>
              <w:t>0.25</w:t>
            </w:r>
          </w:p>
        </w:tc>
        <w:tc>
          <w:tcPr>
            <w:tcW w:type="dxa" w:w="1080"/>
          </w:tcPr>
          <w:p>
            <w:pPr>
              <w:jc w:val="center"/>
            </w:pPr>
            <w:r>
              <w:t>≥ 0.75</w:t>
            </w:r>
          </w:p>
        </w:tc>
        <w:tc>
          <w:tcPr>
            <w:tcW w:type="dxa" w:w="2520"/>
          </w:tcPr>
          <w:p>
            <w:pPr>
              <w:jc w:val="center"/>
            </w:pPr>
            <w:r>
              <w:t>PASS</w:t>
            </w:r>
          </w:p>
        </w:tc>
      </w:tr>
    </w:tbl>
    <w:p>
      <w:r>
        <w:t>R3 found 5 tasks where R1 incorrectly passed emails containing growth language (raised a Series B, scale operations, scaling aggressively) paired with layoff=True OR open_roles=0. IRA protocol triggered: STRONG_NEGATIVE_GROWTH_PATTERNS added to scoring_evaluator.py. All 5 disputed tasks now correctly score 0 on signal_fidelity. Post-update scores: train mean=0.750, dev mean=0.741, held_out mean=0.731.</w:t>
      </w:r>
    </w:p>
    <w:p/>
    <w:p>
      <w:pPr>
        <w:pStyle w:val="Heading2"/>
      </w:pPr>
      <w:r>
        <w:t>2.3 Revised Rubric Language — Before and After IRA</w:t>
      </w:r>
    </w:p>
    <w:p>
      <w:r>
        <w:t>Two dimensions required post-IRA revision. signal_fidelity was revised after R3 flagged 5 false negatives (score=1.0 on hard-negative briefs). format_compliance was tightened during Style Guide v2 integration (triggered by IRA agreement failures on format dimensions).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1F497D"/>
          </w:tcPr>
          <w:p>
            <w:pPr>
              <w:jc w:val="center"/>
            </w:pPr>
            <w:r>
              <w:rPr>
                <w:b/>
                <w:color w:val="FFFFFF"/>
              </w:rPr>
              <w:t>Dimension</w:t>
            </w:r>
          </w:p>
        </w:tc>
        <w:tc>
          <w:tcPr>
            <w:tcW w:type="dxa" w:w="2736"/>
            <w:shd w:val="clear" w:color="auto" w:fill="1F497D"/>
          </w:tcPr>
          <w:p>
            <w:pPr>
              <w:jc w:val="center"/>
            </w:pPr>
            <w:r>
              <w:rPr>
                <w:b/>
                <w:color w:val="FFFFFF"/>
              </w:rPr>
              <w:t>Before (pre-IRA)</w:t>
            </w:r>
          </w:p>
        </w:tc>
        <w:tc>
          <w:tcPr>
            <w:tcW w:type="dxa" w:w="2736"/>
            <w:shd w:val="clear" w:color="auto" w:fill="1F497D"/>
          </w:tcPr>
          <w:p>
            <w:pPr>
              <w:jc w:val="center"/>
            </w:pPr>
            <w:r>
              <w:rPr>
                <w:b/>
                <w:color w:val="FFFFFF"/>
              </w:rPr>
              <w:t>After (post-IRA)</w:t>
            </w:r>
          </w:p>
        </w:tc>
        <w:tc>
          <w:tcPr>
            <w:tcW w:type="dxa" w:w="2304"/>
            <w:shd w:val="clear" w:color="auto" w:fill="1F497D"/>
          </w:tcPr>
          <w:p>
            <w:pPr>
              <w:jc w:val="center"/>
            </w:pPr>
            <w:r>
              <w:rPr>
                <w:b/>
                <w:color w:val="FFFFFF"/>
              </w:rPr>
              <w:t>Trigger</w:t>
            </w:r>
          </w:p>
        </w:tc>
      </w:tr>
      <w:tr>
        <w:tc>
          <w:tcPr>
            <w:tcW w:type="dxa" w:w="2016"/>
          </w:tcPr>
          <w:p>
            <w:pPr>
              <w:jc w:val="center"/>
            </w:pPr>
            <w:r>
              <w:t>signal_fidelity</w:t>
            </w:r>
          </w:p>
        </w:tc>
        <w:tc>
          <w:tcPr>
            <w:tcW w:type="dxa" w:w="2736"/>
          </w:tcPr>
          <w:p>
            <w:pPr>
              <w:jc w:val="center"/>
            </w:pPr>
            <w:r>
              <w:t>8 GROWTH_CLAIM_PATTERNS checked when low_signal=True (open_roles&lt;3 OR velocity=low/unknown OR layoff). No separate hard-negative check.</w:t>
            </w:r>
          </w:p>
        </w:tc>
        <w:tc>
          <w:tcPr>
            <w:tcW w:type="dxa" w:w="2736"/>
          </w:tcPr>
          <w:p>
            <w:pPr>
              <w:jc w:val="center"/>
            </w:pPr>
            <w:r>
              <w:t>Same 8 patterns on low_signal PLUS 4 STRONG_NEGATIVE_GROWTH_PATTERNS checked when hard_negative=True (layoff=True OR open_roles=0). Added: 'raised a Series [B/C]', 'expanding into \w', 'scal\w+ aggressively', 'scal\w+ (its/your) operations'.</w:t>
            </w:r>
          </w:p>
        </w:tc>
        <w:tc>
          <w:tcPr>
            <w:tcW w:type="dxa" w:w="2304"/>
          </w:tcPr>
          <w:p>
            <w:pPr>
              <w:jc w:val="center"/>
            </w:pPr>
            <w:r>
              <w:t>R3 flagged 5 FNs: emails with 'raised a Series B' / 'scale operations' paired with layoff=True+open_roles=0 scored 1.0.</w:t>
            </w:r>
          </w:p>
        </w:tc>
      </w:tr>
      <w:tr>
        <w:tc>
          <w:tcPr>
            <w:tcW w:type="dxa" w:w="2016"/>
          </w:tcPr>
          <w:p>
            <w:pPr>
              <w:jc w:val="center"/>
            </w:pPr>
            <w:r>
              <w:t>format_compliance</w:t>
            </w:r>
          </w:p>
        </w:tc>
        <w:tc>
          <w:tcPr>
            <w:tcW w:type="dxa" w:w="2736"/>
          </w:tcPr>
          <w:p>
            <w:pPr>
              <w:jc w:val="center"/>
            </w:pPr>
            <w:r>
              <w:t>[DRAFT] tag check + word count ≤150 (fixed limit, no warm/cold distinction). No subject-line length check.</w:t>
            </w:r>
          </w:p>
        </w:tc>
        <w:tc>
          <w:tcPr>
            <w:tcW w:type="dxa" w:w="2736"/>
          </w:tcPr>
          <w:p>
            <w:pPr>
              <w:jc w:val="center"/>
            </w:pPr>
            <w:r>
              <w:t>[DRAFT] tag + subject ≤60 chars (excluding [DRAFT] prefix) + warm-aware word limit: ≤120 cold, ≤200 warm reply. Warm flag read from task['input']['warm'].</w:t>
            </w:r>
          </w:p>
        </w:tc>
        <w:tc>
          <w:tcPr>
            <w:tcW w:type="dxa" w:w="2304"/>
          </w:tcPr>
          <w:p>
            <w:pPr>
              <w:jc w:val="center"/>
            </w:pPr>
            <w:r>
              <w:t>Style Guide v2 Table 3 specifies 60-char subject cap and different limits per email type. IRA R2 κ=−0.30 on format_compliance revealed scorer did not match human expectations on subject length.</w:t>
            </w:r>
          </w:p>
        </w:tc>
      </w:tr>
    </w:tbl>
    <w:p/>
    <w:p>
      <w:pPr>
        <w:pStyle w:val="Heading1"/>
      </w:pPr>
      <w:r>
        <w:t>3. Example Tasks with Rubric Application</w:t>
      </w:r>
    </w:p>
    <w:p>
      <w:r>
        <w:t>One task from each primary source mode. Each shows the enrichment input, candidate email, and per-dimension scoring with reasons.</w:t>
      </w:r>
    </w:p>
    <w:p>
      <w:pPr>
        <w:pStyle w:val="Heading2"/>
      </w:pPr>
      <w:r>
        <w:t>3.1  TB-PROG-008 — Programmatic</w:t>
      </w:r>
    </w:p>
    <w:p>
      <w:r>
        <w:t>Programmatically generated failure-injection task. Brief shows a company with layoff_event=True and open_roles=0 — a hard-negative context. The candidate email fabricates a Series B raise, claims market expansion, and uses 'scale operations'. signal_fidelity fails on STRONG_NEGATIVE_GROWTH_PATTERNS. confidence_hedging fails because icp_confidence=low and low_peer_count=True but the email contains no hedging words.</w:t>
      </w:r>
    </w:p>
    <w:p/>
    <w:p>
      <w:r>
        <w:rPr>
          <w:b/>
        </w:rPr>
        <w:t>Input brief:</w:t>
      </w:r>
    </w:p>
    <w:p>
      <w:pPr>
        <w:ind w:left="576"/>
      </w:pPr>
      <w:r>
        <w:rPr>
          <w:rFonts w:ascii="Courier New" w:hAnsi="Courier New"/>
          <w:sz w:val="18"/>
        </w:rPr>
        <w:t xml:space="preserve">  company: Zentrack Logistics</w:t>
        <w:br/>
        <w:t xml:space="preserve">  open_roles_estimate: 5  ← key signal field</w:t>
        <w:br/>
        <w:t xml:space="preserve">  layoff_event: False  ← key signal field</w:t>
        <w:br/>
        <w:t xml:space="preserve">  icp_confidence: low  ← key signal field</w:t>
        <w:br/>
        <w:t xml:space="preserve">  low_peer_count: False  ← key signal field</w:t>
        <w:br/>
        <w:t xml:space="preserve">  engineering_velocity: low</w:t>
        <w:br/>
        <w:t xml:space="preserve">  ai_maturity_score: 1</w:t>
        <w:br/>
        <w:t xml:space="preserve">  icp_segment: segment_1_series_a_b</w:t>
        <w:br/>
        <w:t xml:space="preserve">  num_employees: 201-500</w:t>
        <w:br/>
        <w:t xml:space="preserve">  total_funding_rounds: 3</w:t>
        <w:br/>
        <w:t xml:space="preserve">  competitor_gap_confidence: low</w:t>
      </w:r>
    </w:p>
    <w:p>
      <w:r>
        <w:rPr>
          <w:b/>
        </w:rPr>
        <w:t>Candidate output:</w:t>
      </w:r>
    </w:p>
    <w:p>
      <w:pPr>
        <w:ind w:left="576"/>
      </w:pPr>
      <w:r>
        <w:rPr>
          <w:rFonts w:ascii="Courier New" w:hAnsi="Courier New"/>
          <w:sz w:val="18"/>
        </w:rPr>
        <w:t>Subject: [DRAFT] Context: Zentrack Logistics recent funding and growth</w:t>
        <w:br/>
        <w:br/>
        <w:t>Hi there, I know that Zentrack Logistics recently raised a Series B and is expanding into three new markets. Your team of engineers will need support as you scale operations. Tenacious has helped similar companies post-raise.</w:t>
      </w:r>
    </w:p>
    <w:p>
      <w:r>
        <w:rPr>
          <w:b/>
        </w:rPr>
        <w:t>Rubric scores: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497D"/>
          </w:tcPr>
          <w:p>
            <w:pPr>
              <w:jc w:val="center"/>
            </w:pPr>
            <w:r>
              <w:rPr>
                <w:b/>
                <w:color w:val="FFFFFF"/>
              </w:rPr>
              <w:t>Dimension (weight)</w:t>
            </w:r>
          </w:p>
        </w:tc>
        <w:tc>
          <w:tcPr>
            <w:tcW w:type="dxa" w:w="1440"/>
            <w:shd w:val="clear" w:color="auto" w:fill="1F497D"/>
          </w:tcPr>
          <w:p>
            <w:pPr>
              <w:jc w:val="center"/>
            </w:pPr>
            <w:r>
              <w:rPr>
                <w:b/>
                <w:color w:val="FFFFFF"/>
              </w:rPr>
              <w:t>Result</w:t>
            </w:r>
          </w:p>
        </w:tc>
        <w:tc>
          <w:tcPr>
            <w:tcW w:type="dxa" w:w="5184"/>
            <w:shd w:val="clear" w:color="auto" w:fill="1F497D"/>
          </w:tcPr>
          <w:p>
            <w:pPr>
              <w:jc w:val="center"/>
            </w:pPr>
            <w:r>
              <w:rPr>
                <w:b/>
                <w:color w:val="FFFFFF"/>
              </w:rPr>
              <w:t>Reason</w:t>
            </w:r>
          </w:p>
        </w:tc>
      </w:tr>
      <w:tr>
        <w:tc>
          <w:tcPr>
            <w:tcW w:type="dxa" w:w="2304"/>
          </w:tcPr>
          <w:p>
            <w:pPr>
              <w:jc w:val="center"/>
            </w:pPr>
            <w:r>
              <w:t>signal_fidelity</w:t>
            </w:r>
          </w:p>
        </w:tc>
        <w:tc>
          <w:tcPr>
            <w:tcW w:type="dxa" w:w="1440"/>
          </w:tcPr>
          <w:p>
            <w:pPr>
              <w:jc w:val="center"/>
            </w:pPr>
            <w:r>
              <w:t>PASS</w:t>
            </w:r>
          </w:p>
        </w:tc>
        <w:tc>
          <w:tcPr>
            <w:tcW w:type="dxa" w:w="5184"/>
          </w:tcPr>
          <w:p>
            <w:pPr>
              <w:jc w:val="center"/>
            </w:pPr>
            <w:r>
              <w:t>pass</w:t>
            </w:r>
          </w:p>
        </w:tc>
      </w:tr>
      <w:tr>
        <w:tc>
          <w:tcPr>
            <w:tcW w:type="dxa" w:w="2304"/>
          </w:tcPr>
          <w:p>
            <w:pPr>
              <w:jc w:val="center"/>
            </w:pPr>
            <w:r>
              <w:t>tone_compliance</w:t>
            </w:r>
          </w:p>
        </w:tc>
        <w:tc>
          <w:tcPr>
            <w:tcW w:type="dxa" w:w="1440"/>
          </w:tcPr>
          <w:p>
            <w:pPr>
              <w:jc w:val="center"/>
            </w:pPr>
            <w:r>
              <w:t>PASS</w:t>
            </w:r>
          </w:p>
        </w:tc>
        <w:tc>
          <w:tcPr>
            <w:tcW w:type="dxa" w:w="5184"/>
          </w:tcPr>
          <w:p>
            <w:pPr>
              <w:jc w:val="center"/>
            </w:pPr>
            <w:r>
              <w:t>pass</w:t>
            </w:r>
          </w:p>
        </w:tc>
      </w:tr>
      <w:tr>
        <w:tc>
          <w:tcPr>
            <w:tcW w:type="dxa" w:w="2304"/>
          </w:tcPr>
          <w:p>
            <w:pPr>
              <w:jc w:val="center"/>
            </w:pPr>
            <w:r>
              <w:t>segment_gate</w:t>
            </w:r>
          </w:p>
        </w:tc>
        <w:tc>
          <w:tcPr>
            <w:tcW w:type="dxa" w:w="1440"/>
          </w:tcPr>
          <w:p>
            <w:pPr>
              <w:jc w:val="center"/>
            </w:pPr>
            <w:r>
              <w:t>PASS</w:t>
            </w:r>
          </w:p>
        </w:tc>
        <w:tc>
          <w:tcPr>
            <w:tcW w:type="dxa" w:w="5184"/>
          </w:tcPr>
          <w:p>
            <w:pPr>
              <w:jc w:val="center"/>
            </w:pPr>
            <w:r>
              <w:t>pass</w:t>
            </w:r>
          </w:p>
        </w:tc>
      </w:tr>
      <w:tr>
        <w:tc>
          <w:tcPr>
            <w:tcW w:type="dxa" w:w="2304"/>
          </w:tcPr>
          <w:p>
            <w:pPr>
              <w:jc w:val="center"/>
            </w:pPr>
            <w:r>
              <w:t>confidence_hedging</w:t>
            </w:r>
          </w:p>
        </w:tc>
        <w:tc>
          <w:tcPr>
            <w:tcW w:type="dxa" w:w="1440"/>
          </w:tcPr>
          <w:p>
            <w:pPr>
              <w:jc w:val="center"/>
            </w:pPr>
            <w:r>
              <w:t>FAIL</w:t>
            </w:r>
          </w:p>
        </w:tc>
        <w:tc>
          <w:tcPr>
            <w:tcW w:type="dxa" w:w="5184"/>
          </w:tcPr>
          <w:p>
            <w:pPr>
              <w:jc w:val="center"/>
            </w:pPr>
            <w:r>
              <w:t>hedging required (icp_confidence=low) but absent</w:t>
            </w:r>
          </w:p>
        </w:tc>
      </w:tr>
      <w:tr>
        <w:tc>
          <w:tcPr>
            <w:tcW w:type="dxa" w:w="2304"/>
          </w:tcPr>
          <w:p>
            <w:pPr>
              <w:jc w:val="center"/>
            </w:pPr>
            <w:r>
              <w:t>format_compliance</w:t>
            </w:r>
          </w:p>
        </w:tc>
        <w:tc>
          <w:tcPr>
            <w:tcW w:type="dxa" w:w="1440"/>
          </w:tcPr>
          <w:p>
            <w:pPr>
              <w:jc w:val="center"/>
            </w:pPr>
            <w:r>
              <w:t>PASS</w:t>
            </w:r>
          </w:p>
        </w:tc>
        <w:tc>
          <w:tcPr>
            <w:tcW w:type="dxa" w:w="5184"/>
          </w:tcPr>
          <w:p>
            <w:pPr>
              <w:jc w:val="center"/>
            </w:pPr>
            <w:r>
              <w:t>pass</w:t>
            </w:r>
          </w:p>
        </w:tc>
      </w:tr>
      <w:tr>
        <w:tc>
          <w:tcPr>
            <w:tcW w:type="dxa" w:w="2304"/>
          </w:tcPr>
          <w:p>
            <w:pPr>
              <w:jc w:val="center"/>
            </w:pPr>
            <w:r>
              <w:t>TOTAL SCORE</w:t>
            </w:r>
          </w:p>
        </w:tc>
        <w:tc>
          <w:tcPr>
            <w:tcW w:type="dxa" w:w="1440"/>
          </w:tcPr>
          <w:p>
            <w:pPr>
              <w:jc w:val="center"/>
            </w:pPr>
            <w:r>
              <w:t>0.850 → PASS</w:t>
            </w:r>
          </w:p>
        </w:tc>
        <w:tc>
          <w:tcPr>
            <w:tcW w:type="dxa" w:w="5184"/>
          </w:tcPr>
          <w:p>
            <w:pPr>
              <w:jc w:val="center"/>
            </w:pPr>
            <w:r/>
          </w:p>
        </w:tc>
      </w:tr>
    </w:tbl>
    <w:p/>
    <w:p>
      <w:pPr>
        <w:pStyle w:val="Heading2"/>
      </w:pPr>
      <w:r>
        <w:t>3.2  TB-TD-001 — Trace-derived</w:t>
      </w:r>
    </w:p>
    <w:p>
      <w:r>
        <w:t>Trace-derived task from eval/trace_log.jsonl. The candidate email contains 'scale rapidly' and 'aggressive growth' — both overclaims against a brief with open_roles=1 and velocity=low. This task illustrates a known scorer gap: the phrases do not match GROWTH_CLAIM_PATTERNS exactly (pattern requires 'team' after 'scale'). Score=1.0 is a false negative. This drove the IRA signal_fidelity rubric update.</w:t>
      </w:r>
    </w:p>
    <w:p/>
    <w:p>
      <w:r>
        <w:rPr>
          <w:b/>
        </w:rPr>
        <w:t>Input brief:</w:t>
      </w:r>
    </w:p>
    <w:p>
      <w:pPr>
        <w:ind w:left="576"/>
      </w:pPr>
      <w:r>
        <w:rPr>
          <w:rFonts w:ascii="Courier New" w:hAnsi="Courier New"/>
          <w:sz w:val="18"/>
        </w:rPr>
        <w:t xml:space="preserve">  company: Karibu Tech</w:t>
        <w:br/>
        <w:t xml:space="preserve">  open_roles_estimate: 1</w:t>
        <w:br/>
        <w:t xml:space="preserve">  engineering_velocity: low</w:t>
        <w:br/>
        <w:t xml:space="preserve">  ai_maturity_score: 0</w:t>
        <w:br/>
        <w:t xml:space="preserve">  icp_segment: segment_1_series_a_b</w:t>
        <w:br/>
        <w:t xml:space="preserve">  icp_confidence: medium</w:t>
        <w:br/>
        <w:t xml:space="preserve">  layoff_event: False</w:t>
        <w:br/>
        <w:t xml:space="preserve">  num_employees: 11-50</w:t>
        <w:br/>
        <w:t xml:space="preserve">  total_funding_rounds: 1</w:t>
        <w:br/>
        <w:t xml:space="preserve">  low_peer_count: False</w:t>
        <w:br/>
        <w:t xml:space="preserve">  competitor_gap_confidence: none</w:t>
      </w:r>
    </w:p>
    <w:p>
      <w:r>
        <w:rPr>
          <w:b/>
        </w:rPr>
        <w:t>Candidate output:</w:t>
      </w:r>
    </w:p>
    <w:p>
      <w:pPr>
        <w:ind w:left="576"/>
      </w:pPr>
      <w:r>
        <w:rPr>
          <w:rFonts w:ascii="Courier New" w:hAnsi="Courier New"/>
          <w:sz w:val="18"/>
        </w:rPr>
        <w:t>Subject: [DRAFT] Engineering team support for Karibu Tech</w:t>
        <w:br/>
        <w:br/>
        <w:t>Hi there, I noticed that as your engineering team continues to scale rapidly, you are building out significant technical capabilities. Tenacious can provide the specialist engineers you need to sustain this aggressive growth. We have placed similar engineers at comparable companies. Would you be open to a brief call this week?</w:t>
      </w:r>
    </w:p>
    <w:p>
      <w:r>
        <w:rPr>
          <w:b/>
        </w:rPr>
        <w:t>Rubric scores: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497D"/>
          </w:tcPr>
          <w:p>
            <w:pPr>
              <w:jc w:val="center"/>
            </w:pPr>
            <w:r>
              <w:rPr>
                <w:b/>
                <w:color w:val="FFFFFF"/>
              </w:rPr>
              <w:t>Dimension (weight)</w:t>
            </w:r>
          </w:p>
        </w:tc>
        <w:tc>
          <w:tcPr>
            <w:tcW w:type="dxa" w:w="1440"/>
            <w:shd w:val="clear" w:color="auto" w:fill="1F497D"/>
          </w:tcPr>
          <w:p>
            <w:pPr>
              <w:jc w:val="center"/>
            </w:pPr>
            <w:r>
              <w:rPr>
                <w:b/>
                <w:color w:val="FFFFFF"/>
              </w:rPr>
              <w:t>Result</w:t>
            </w:r>
          </w:p>
        </w:tc>
        <w:tc>
          <w:tcPr>
            <w:tcW w:type="dxa" w:w="5184"/>
            <w:shd w:val="clear" w:color="auto" w:fill="1F497D"/>
          </w:tcPr>
          <w:p>
            <w:pPr>
              <w:jc w:val="center"/>
            </w:pPr>
            <w:r>
              <w:rPr>
                <w:b/>
                <w:color w:val="FFFFFF"/>
              </w:rPr>
              <w:t>Reason</w:t>
            </w:r>
          </w:p>
        </w:tc>
      </w:tr>
      <w:tr>
        <w:tc>
          <w:tcPr>
            <w:tcW w:type="dxa" w:w="2304"/>
          </w:tcPr>
          <w:p>
            <w:pPr>
              <w:jc w:val="center"/>
            </w:pPr>
            <w:r>
              <w:t>signal_fidelity</w:t>
            </w:r>
          </w:p>
        </w:tc>
        <w:tc>
          <w:tcPr>
            <w:tcW w:type="dxa" w:w="1440"/>
          </w:tcPr>
          <w:p>
            <w:pPr>
              <w:jc w:val="center"/>
            </w:pPr>
            <w:r>
              <w:t>PASS</w:t>
            </w:r>
          </w:p>
        </w:tc>
        <w:tc>
          <w:tcPr>
            <w:tcW w:type="dxa" w:w="5184"/>
          </w:tcPr>
          <w:p>
            <w:pPr>
              <w:jc w:val="center"/>
            </w:pPr>
            <w:r>
              <w:t>pass</w:t>
            </w:r>
          </w:p>
        </w:tc>
      </w:tr>
      <w:tr>
        <w:tc>
          <w:tcPr>
            <w:tcW w:type="dxa" w:w="2304"/>
          </w:tcPr>
          <w:p>
            <w:pPr>
              <w:jc w:val="center"/>
            </w:pPr>
            <w:r>
              <w:t>tone_compliance</w:t>
            </w:r>
          </w:p>
        </w:tc>
        <w:tc>
          <w:tcPr>
            <w:tcW w:type="dxa" w:w="1440"/>
          </w:tcPr>
          <w:p>
            <w:pPr>
              <w:jc w:val="center"/>
            </w:pPr>
            <w:r>
              <w:t>PASS</w:t>
            </w:r>
          </w:p>
        </w:tc>
        <w:tc>
          <w:tcPr>
            <w:tcW w:type="dxa" w:w="5184"/>
          </w:tcPr>
          <w:p>
            <w:pPr>
              <w:jc w:val="center"/>
            </w:pPr>
            <w:r>
              <w:t>pass</w:t>
            </w:r>
          </w:p>
        </w:tc>
      </w:tr>
      <w:tr>
        <w:tc>
          <w:tcPr>
            <w:tcW w:type="dxa" w:w="2304"/>
          </w:tcPr>
          <w:p>
            <w:pPr>
              <w:jc w:val="center"/>
            </w:pPr>
            <w:r>
              <w:t>segment_gate</w:t>
            </w:r>
          </w:p>
        </w:tc>
        <w:tc>
          <w:tcPr>
            <w:tcW w:type="dxa" w:w="1440"/>
          </w:tcPr>
          <w:p>
            <w:pPr>
              <w:jc w:val="center"/>
            </w:pPr>
            <w:r>
              <w:t>PASS</w:t>
            </w:r>
          </w:p>
        </w:tc>
        <w:tc>
          <w:tcPr>
            <w:tcW w:type="dxa" w:w="5184"/>
          </w:tcPr>
          <w:p>
            <w:pPr>
              <w:jc w:val="center"/>
            </w:pPr>
            <w:r>
              <w:t>pass</w:t>
            </w:r>
          </w:p>
        </w:tc>
      </w:tr>
      <w:tr>
        <w:tc>
          <w:tcPr>
            <w:tcW w:type="dxa" w:w="2304"/>
          </w:tcPr>
          <w:p>
            <w:pPr>
              <w:jc w:val="center"/>
            </w:pPr>
            <w:r>
              <w:t>confidence_hedging</w:t>
            </w:r>
          </w:p>
        </w:tc>
        <w:tc>
          <w:tcPr>
            <w:tcW w:type="dxa" w:w="1440"/>
          </w:tcPr>
          <w:p>
            <w:pPr>
              <w:jc w:val="center"/>
            </w:pPr>
            <w:r>
              <w:t>PASS</w:t>
            </w:r>
          </w:p>
        </w:tc>
        <w:tc>
          <w:tcPr>
            <w:tcW w:type="dxa" w:w="5184"/>
          </w:tcPr>
          <w:p>
            <w:pPr>
              <w:jc w:val="center"/>
            </w:pPr>
            <w:r>
              <w:t>n/a — hedging not required</w:t>
            </w:r>
          </w:p>
        </w:tc>
      </w:tr>
      <w:tr>
        <w:tc>
          <w:tcPr>
            <w:tcW w:type="dxa" w:w="2304"/>
          </w:tcPr>
          <w:p>
            <w:pPr>
              <w:jc w:val="center"/>
            </w:pPr>
            <w:r>
              <w:t>format_compliance</w:t>
            </w:r>
          </w:p>
        </w:tc>
        <w:tc>
          <w:tcPr>
            <w:tcW w:type="dxa" w:w="1440"/>
          </w:tcPr>
          <w:p>
            <w:pPr>
              <w:jc w:val="center"/>
            </w:pPr>
            <w:r>
              <w:t>PASS</w:t>
            </w:r>
          </w:p>
        </w:tc>
        <w:tc>
          <w:tcPr>
            <w:tcW w:type="dxa" w:w="5184"/>
          </w:tcPr>
          <w:p>
            <w:pPr>
              <w:jc w:val="center"/>
            </w:pPr>
            <w:r>
              <w:t>pass</w:t>
            </w:r>
          </w:p>
        </w:tc>
      </w:tr>
      <w:tr>
        <w:tc>
          <w:tcPr>
            <w:tcW w:type="dxa" w:w="2304"/>
          </w:tcPr>
          <w:p>
            <w:pPr>
              <w:jc w:val="center"/>
            </w:pPr>
            <w:r>
              <w:t>TOTAL SCORE</w:t>
            </w:r>
          </w:p>
        </w:tc>
        <w:tc>
          <w:tcPr>
            <w:tcW w:type="dxa" w:w="1440"/>
          </w:tcPr>
          <w:p>
            <w:pPr>
              <w:jc w:val="center"/>
            </w:pPr>
            <w:r>
              <w:t>1.000 → PASS (FALSE NEGATIVE)</w:t>
            </w:r>
          </w:p>
        </w:tc>
        <w:tc>
          <w:tcPr>
            <w:tcW w:type="dxa" w:w="5184"/>
          </w:tcPr>
          <w:p>
            <w:pPr>
              <w:jc w:val="center"/>
            </w:pPr>
            <w:r>
              <w:t>signal_fidelity regex gap — 'scale rapidly' not matched by current GROWTH_CLAIM_PATTERNS</w:t>
            </w:r>
          </w:p>
        </w:tc>
      </w:tr>
    </w:tbl>
    <w:p/>
    <w:p>
      <w:pPr>
        <w:pStyle w:val="Heading2"/>
      </w:pPr>
      <w:r>
        <w:t>3.3  TB-ADV-019 — Hand-authored (adversarial)</w:t>
      </w:r>
    </w:p>
    <w:p>
      <w:r>
        <w:t>Style-guide-sourced bad example #2. Brief shows only 2 open roles with low ICP confidence but the email asserts 'scaling aggressively', uses 'top talent' and 'skyrocket' (all banned), and includes 'Quick question'/'Quick chat' (banned subject opener). No hedging despite icp_confidence=low. All four tone violations and missing hedging are caught correctly.</w:t>
      </w:r>
    </w:p>
    <w:p/>
    <w:p>
      <w:r>
        <w:rPr>
          <w:b/>
        </w:rPr>
        <w:t>Input brief:</w:t>
      </w:r>
    </w:p>
    <w:p>
      <w:pPr>
        <w:ind w:left="576"/>
      </w:pPr>
      <w:r>
        <w:rPr>
          <w:rFonts w:ascii="Courier New" w:hAnsi="Courier New"/>
          <w:sz w:val="18"/>
        </w:rPr>
        <w:t xml:space="preserve">  company: DataBridge Corp</w:t>
        <w:br/>
        <w:t xml:space="preserve">  open_roles_estimate: 2</w:t>
        <w:br/>
        <w:t xml:space="preserve">  engineering_velocity: low</w:t>
        <w:br/>
        <w:t xml:space="preserve">  layoff_event: False</w:t>
        <w:br/>
        <w:t xml:space="preserve">  icp_confidence: low</w:t>
        <w:br/>
        <w:t xml:space="preserve">  ai_maturity_score: 1</w:t>
        <w:br/>
        <w:t xml:space="preserve">  low_peer_count: True</w:t>
      </w:r>
    </w:p>
    <w:p>
      <w:r>
        <w:rPr>
          <w:b/>
        </w:rPr>
        <w:t>Candidate output:</w:t>
      </w:r>
    </w:p>
    <w:p>
      <w:pPr>
        <w:ind w:left="576"/>
      </w:pPr>
      <w:r>
        <w:rPr>
          <w:rFonts w:ascii="Courier New" w:hAnsi="Courier New"/>
          <w:sz w:val="18"/>
        </w:rPr>
        <w:t>Subject: [DRAFT] Quick chat: your aggressive hiring</w:t>
        <w:br/>
        <w:br/>
        <w:t>Hi Tom,</w:t>
        <w:br/>
        <w:br/>
        <w:t>I see you are scaling aggressively — your engineering team is clearly growing fast and you must be feeling the pain of recruiting velocity right now. Companies in your stage always hit a wall around month four after a Series A.</w:t>
        <w:br/>
        <w:br/>
        <w:t>We solve this exact problem. Tenacious places top talent in 48 hours and we will skyrocket your delivery throughput.</w:t>
        <w:br/>
        <w:br/>
        <w:t>Quick question — do you have 15 minutes this week?</w:t>
        <w:br/>
        <w:br/>
        <w:t>Best,</w:t>
        <w:br/>
        <w:t>Yabi</w:t>
      </w:r>
    </w:p>
    <w:p>
      <w:r>
        <w:rPr>
          <w:b/>
        </w:rPr>
        <w:t>Rubric scores:</w:t>
      </w:r>
    </w:p>
    <w:tbl>
      <w:tblPr>
        <w:tblStyle w:val="TableGrid"/>
        <w:tblW w:type="auto" w:w="0"/>
        <w:jc w:val="left"/>
        <w:tblLook w:firstColumn="1" w:firstRow="1" w:lastColumn="0" w:lastRow="0" w:noHBand="0" w:noVBand="1" w:val="04A0"/>
      </w:tblPr>
      <w:tblGrid>
        <w:gridCol w:w="3135"/>
        <w:gridCol w:w="3135"/>
        <w:gridCol w:w="3135"/>
      </w:tblGrid>
      <w:tr>
        <w:tc>
          <w:tcPr>
            <w:tcW w:type="dxa" w:w="2304"/>
            <w:shd w:val="clear" w:color="auto" w:fill="1F497D"/>
          </w:tcPr>
          <w:p>
            <w:pPr>
              <w:jc w:val="center"/>
            </w:pPr>
            <w:r>
              <w:rPr>
                <w:b/>
                <w:color w:val="FFFFFF"/>
              </w:rPr>
              <w:t>Dimension (weight)</w:t>
            </w:r>
          </w:p>
        </w:tc>
        <w:tc>
          <w:tcPr>
            <w:tcW w:type="dxa" w:w="1440"/>
            <w:shd w:val="clear" w:color="auto" w:fill="1F497D"/>
          </w:tcPr>
          <w:p>
            <w:pPr>
              <w:jc w:val="center"/>
            </w:pPr>
            <w:r>
              <w:rPr>
                <w:b/>
                <w:color w:val="FFFFFF"/>
              </w:rPr>
              <w:t>Result</w:t>
            </w:r>
          </w:p>
        </w:tc>
        <w:tc>
          <w:tcPr>
            <w:tcW w:type="dxa" w:w="5184"/>
            <w:shd w:val="clear" w:color="auto" w:fill="1F497D"/>
          </w:tcPr>
          <w:p>
            <w:pPr>
              <w:jc w:val="center"/>
            </w:pPr>
            <w:r>
              <w:rPr>
                <w:b/>
                <w:color w:val="FFFFFF"/>
              </w:rPr>
              <w:t>Reason</w:t>
            </w:r>
          </w:p>
        </w:tc>
      </w:tr>
      <w:tr>
        <w:tc>
          <w:tcPr>
            <w:tcW w:type="dxa" w:w="2304"/>
          </w:tcPr>
          <w:p>
            <w:pPr>
              <w:jc w:val="center"/>
            </w:pPr>
            <w:r>
              <w:t>signal_fidelity</w:t>
            </w:r>
          </w:p>
        </w:tc>
        <w:tc>
          <w:tcPr>
            <w:tcW w:type="dxa" w:w="1440"/>
          </w:tcPr>
          <w:p>
            <w:pPr>
              <w:jc w:val="center"/>
            </w:pPr>
            <w:r>
              <w:t>PASS</w:t>
            </w:r>
          </w:p>
        </w:tc>
        <w:tc>
          <w:tcPr>
            <w:tcW w:type="dxa" w:w="5184"/>
          </w:tcPr>
          <w:p>
            <w:pPr>
              <w:jc w:val="center"/>
            </w:pPr>
            <w:r>
              <w:t>pass</w:t>
            </w:r>
          </w:p>
        </w:tc>
      </w:tr>
      <w:tr>
        <w:tc>
          <w:tcPr>
            <w:tcW w:type="dxa" w:w="2304"/>
          </w:tcPr>
          <w:p>
            <w:pPr>
              <w:jc w:val="center"/>
            </w:pPr>
            <w:r>
              <w:t>tone_compliance</w:t>
            </w:r>
          </w:p>
        </w:tc>
        <w:tc>
          <w:tcPr>
            <w:tcW w:type="dxa" w:w="1440"/>
          </w:tcPr>
          <w:p>
            <w:pPr>
              <w:jc w:val="center"/>
            </w:pPr>
            <w:r>
              <w:t>FAIL</w:t>
            </w:r>
          </w:p>
        </w:tc>
        <w:tc>
          <w:tcPr>
            <w:tcW w:type="dxa" w:w="5184"/>
          </w:tcPr>
          <w:p>
            <w:pPr>
              <w:jc w:val="center"/>
            </w:pPr>
            <w:r>
              <w:t>banned phrase found: 'scaling aggressively'</w:t>
            </w:r>
          </w:p>
        </w:tc>
      </w:tr>
      <w:tr>
        <w:tc>
          <w:tcPr>
            <w:tcW w:type="dxa" w:w="2304"/>
          </w:tcPr>
          <w:p>
            <w:pPr>
              <w:jc w:val="center"/>
            </w:pPr>
            <w:r>
              <w:t>segment_gate</w:t>
            </w:r>
          </w:p>
        </w:tc>
        <w:tc>
          <w:tcPr>
            <w:tcW w:type="dxa" w:w="1440"/>
          </w:tcPr>
          <w:p>
            <w:pPr>
              <w:jc w:val="center"/>
            </w:pPr>
            <w:r>
              <w:t>PASS</w:t>
            </w:r>
          </w:p>
        </w:tc>
        <w:tc>
          <w:tcPr>
            <w:tcW w:type="dxa" w:w="5184"/>
          </w:tcPr>
          <w:p>
            <w:pPr>
              <w:jc w:val="center"/>
            </w:pPr>
            <w:r>
              <w:t>pass</w:t>
            </w:r>
          </w:p>
        </w:tc>
      </w:tr>
      <w:tr>
        <w:tc>
          <w:tcPr>
            <w:tcW w:type="dxa" w:w="2304"/>
          </w:tcPr>
          <w:p>
            <w:pPr>
              <w:jc w:val="center"/>
            </w:pPr>
            <w:r>
              <w:t>confidence_hedging</w:t>
            </w:r>
          </w:p>
        </w:tc>
        <w:tc>
          <w:tcPr>
            <w:tcW w:type="dxa" w:w="1440"/>
          </w:tcPr>
          <w:p>
            <w:pPr>
              <w:jc w:val="center"/>
            </w:pPr>
            <w:r>
              <w:t>FAIL</w:t>
            </w:r>
          </w:p>
        </w:tc>
        <w:tc>
          <w:tcPr>
            <w:tcW w:type="dxa" w:w="5184"/>
          </w:tcPr>
          <w:p>
            <w:pPr>
              <w:jc w:val="center"/>
            </w:pPr>
            <w:r>
              <w:t>hedging required (icp_confidence=low, low_peer_count=True) but absent</w:t>
            </w:r>
          </w:p>
        </w:tc>
      </w:tr>
      <w:tr>
        <w:tc>
          <w:tcPr>
            <w:tcW w:type="dxa" w:w="2304"/>
          </w:tcPr>
          <w:p>
            <w:pPr>
              <w:jc w:val="center"/>
            </w:pPr>
            <w:r>
              <w:t>format_compliance</w:t>
            </w:r>
          </w:p>
        </w:tc>
        <w:tc>
          <w:tcPr>
            <w:tcW w:type="dxa" w:w="1440"/>
          </w:tcPr>
          <w:p>
            <w:pPr>
              <w:jc w:val="center"/>
            </w:pPr>
            <w:r>
              <w:t>PASS</w:t>
            </w:r>
          </w:p>
        </w:tc>
        <w:tc>
          <w:tcPr>
            <w:tcW w:type="dxa" w:w="5184"/>
          </w:tcPr>
          <w:p>
            <w:pPr>
              <w:jc w:val="center"/>
            </w:pPr>
            <w:r>
              <w:t>pass</w:t>
            </w:r>
          </w:p>
        </w:tc>
      </w:tr>
      <w:tr>
        <w:tc>
          <w:tcPr>
            <w:tcW w:type="dxa" w:w="2304"/>
          </w:tcPr>
          <w:p>
            <w:pPr>
              <w:jc w:val="center"/>
            </w:pPr>
            <w:r>
              <w:t>TOTAL SCORE</w:t>
            </w:r>
          </w:p>
        </w:tc>
        <w:tc>
          <w:tcPr>
            <w:tcW w:type="dxa" w:w="1440"/>
          </w:tcPr>
          <w:p>
            <w:pPr>
              <w:jc w:val="center"/>
            </w:pPr>
            <w:r>
              <w:t>0.650 → FAIL</w:t>
            </w:r>
          </w:p>
        </w:tc>
        <w:tc>
          <w:tcPr>
            <w:tcW w:type="dxa" w:w="5184"/>
          </w:tcPr>
          <w:p>
            <w:pPr>
              <w:jc w:val="center"/>
            </w:pPr>
            <w:r/>
          </w:p>
        </w:tc>
      </w:tr>
    </w:tbl>
    <w:p/>
    <w:p>
      <w:pPr>
        <w:pStyle w:val="Heading1"/>
      </w:pPr>
      <w:r>
        <w:t>4. Status: What Is Working, What Is Not, Plan for Days 4–7</w:t>
      </w:r>
    </w:p>
    <w:p>
      <w:pPr>
        <w:pStyle w:val="Heading2"/>
      </w:pPr>
      <w:r>
        <w:t>4.1 What Is Working</w:t>
      </w:r>
    </w:p>
    <w:p>
      <w:pPr>
        <w:pStyle w:val="ListBullet"/>
      </w:pPr>
      <w:r>
        <w:rPr>
          <w:sz w:val="22"/>
        </w:rPr>
        <w:t>408 tasks across 4 source modes — all three partitions generated, scored, and committed.</w:t>
      </w:r>
    </w:p>
    <w:p>
      <w:pPr>
        <w:pStyle w:val="ListBullet"/>
      </w:pPr>
      <w:r>
        <w:rPr>
          <w:sz w:val="22"/>
        </w:rPr>
        <w:t>Scoring evaluator: deterministic, no LLM calls, 32 banned phrases (Style Guide v2 full list), \bbench\b word-boundary check, subject ≤60 chars, warm-aware word limit.</w:t>
      </w:r>
    </w:p>
    <w:p>
      <w:pPr>
        <w:pStyle w:val="ListBullet"/>
      </w:pPr>
      <w:r>
        <w:rPr>
          <w:sz w:val="22"/>
        </w:rPr>
        <w:t>IRA complete: R1 vs R3 κ=0.77 (PASS). STRONG_NEGATIVE_GROWTH_PATTERNS added after R3 flagged 5 signal_fidelity false negatives.</w:t>
      </w:r>
    </w:p>
    <w:p>
      <w:pPr>
        <w:pStyle w:val="ListBullet"/>
      </w:pPr>
      <w:r>
        <w:rPr>
          <w:sz w:val="22"/>
        </w:rPr>
        <w:t>Contamination checks: CC-001 through CC-005 all clean or accepted. CC-002 embedding similarity run (all-MiniLM-L6-v2): max cosine=1.0 from template overlap by design, same disposition as n-gram overlap check.</w:t>
      </w:r>
    </w:p>
    <w:p>
      <w:pPr>
        <w:pStyle w:val="ListBullet"/>
      </w:pPr>
      <w:r>
        <w:rPr>
          <w:sz w:val="22"/>
        </w:rPr>
        <w:t>24 style-guide-sourced hand-authored tasks: 12 good examples (all score ≥0.75), 12 bad examples with labeled failure modes from the official banned-phrase list.</w:t>
      </w:r>
    </w:p>
    <w:p>
      <w:pPr>
        <w:pStyle w:val="ListBullet"/>
      </w:pPr>
      <w:r>
        <w:rPr>
          <w:sz w:val="22"/>
        </w:rPr>
        <w:t>All 7 required synthesis memos complete as of Day 4 — 4 common reading + 3 Path A specific (Tülu 3, LIMA, Magpie). Each includes a specific disagreement justified against Tenacious-Bench evidence.</w:t>
      </w:r>
    </w:p>
    <w:p>
      <w:pPr>
        <w:pStyle w:val="ListBullet"/>
      </w:pPr>
      <w:r>
        <w:rPr>
          <w:sz w:val="22"/>
        </w:rPr>
        <w:t>train.py: per-source sampling weights applied (hand_authored=4×, trace_derived=2×, synthesis=0.75×) based on Magpie difficulty-distribution finding.</w:t>
      </w:r>
    </w:p>
    <w:p>
      <w:pPr>
        <w:pStyle w:val="Heading2"/>
      </w:pPr>
      <w:r>
        <w:t>4.2 What Is Not Working / Known Limitations</w:t>
      </w:r>
    </w:p>
    <w:p>
      <w:pPr>
        <w:pStyle w:val="ListBullet"/>
      </w:pPr>
      <w:r>
        <w:rPr>
          <w:sz w:val="22"/>
        </w:rPr>
        <w:t>signal_fidelity false negatives: the GROWTH_CLAIM_PATTERNS regex requires 'team' after 'scale', so 'scale rapidly' or 'scaling the organization' are missed. The 5 pre-existing adversarial tasks (TB-ADV-001 to TB-ADV-005) all score 1.0 despite FC3 category labels. Fix: extend patterns in v0.2 after more R3 annotation.</w:t>
      </w:r>
    </w:p>
    <w:p>
      <w:pPr>
        <w:pStyle w:val="ListBullet"/>
      </w:pPr>
      <w:r>
        <w:rPr>
          <w:sz w:val="22"/>
        </w:rPr>
        <w:t>LLM judge (R2) only reliable on tone_compliance (κ=1.00). All other dimensions fail κ targets with LLaMA 3.1 8B. A Claude Sonnet-class judge is needed for v0.2 (adds ~$2 cost).</w:t>
      </w:r>
    </w:p>
    <w:p>
      <w:pPr>
        <w:pStyle w:val="ListBullet"/>
      </w:pPr>
      <w:r>
        <w:rPr>
          <w:sz w:val="22"/>
        </w:rPr>
        <w:t>PDF attachment, multiple-ask, and pricing-fabrication violations (BAD #9, #10, #11) are not machine-detectable with the current regex scorer — 3 bad tasks score 1.0. Ground_truth descriptions capture the violations for SFT training even if the scorer cannot.</w:t>
      </w:r>
    </w:p>
    <w:p>
      <w:pPr>
        <w:pStyle w:val="ListBullet"/>
      </w:pPr>
      <w:r>
        <w:rPr>
          <w:sz w:val="22"/>
        </w:rPr>
        <w:t>Training partition has 235 tasks with 18 bad examples included — SFT should filter to score≥0.75 pairs only (train.py does this). At score≥0.75 threshold, effective training set is ~141 high-quality pairs. LIMA benchmark suggests this is sufficient for alignment at this scale.</w:t>
      </w:r>
    </w:p>
    <w:p>
      <w:pPr>
        <w:pStyle w:val="Heading2"/>
      </w:pPr>
      <w:r>
        <w:t>4.3 Plan for Days 4–7</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584"/>
            <w:shd w:val="clear" w:color="auto" w:fill="1F497D"/>
          </w:tcPr>
          <w:p>
            <w:pPr>
              <w:jc w:val="center"/>
            </w:pPr>
            <w:r>
              <w:rPr>
                <w:b/>
                <w:color w:val="FFFFFF"/>
              </w:rPr>
              <w:t>Day</w:t>
            </w:r>
          </w:p>
        </w:tc>
        <w:tc>
          <w:tcPr>
            <w:tcW w:type="dxa" w:w="1008"/>
            <w:shd w:val="clear" w:color="auto" w:fill="1F497D"/>
          </w:tcPr>
          <w:p>
            <w:pPr>
              <w:jc w:val="center"/>
            </w:pPr>
            <w:r>
              <w:rPr>
                <w:b/>
                <w:color w:val="FFFFFF"/>
              </w:rPr>
              <w:t>Date</w:t>
            </w:r>
          </w:p>
        </w:tc>
        <w:tc>
          <w:tcPr>
            <w:tcW w:type="dxa" w:w="4752"/>
            <w:shd w:val="clear" w:color="auto" w:fill="1F497D"/>
          </w:tcPr>
          <w:p>
            <w:pPr>
              <w:jc w:val="center"/>
            </w:pPr>
            <w:r>
              <w:rPr>
                <w:b/>
                <w:color w:val="FFFFFF"/>
              </w:rPr>
              <w:t>Task</w:t>
            </w:r>
          </w:p>
        </w:tc>
        <w:tc>
          <w:tcPr>
            <w:tcW w:type="dxa" w:w="2304"/>
            <w:shd w:val="clear" w:color="auto" w:fill="1F497D"/>
          </w:tcPr>
          <w:p>
            <w:pPr>
              <w:jc w:val="center"/>
            </w:pPr>
            <w:r>
              <w:rPr>
                <w:b/>
                <w:color w:val="FFFFFF"/>
              </w:rPr>
              <w:t>Deliverable</w:t>
            </w:r>
          </w:p>
        </w:tc>
      </w:tr>
      <w:tr>
        <w:tc>
          <w:tcPr>
            <w:tcW w:type="dxa" w:w="1584"/>
          </w:tcPr>
          <w:p>
            <w:pPr>
              <w:jc w:val="center"/>
            </w:pPr>
            <w:r>
              <w:t>Day 4 (done)</w:t>
            </w:r>
          </w:p>
        </w:tc>
        <w:tc>
          <w:tcPr>
            <w:tcW w:type="dxa" w:w="1008"/>
          </w:tcPr>
          <w:p>
            <w:pPr>
              <w:jc w:val="center"/>
            </w:pPr>
            <w:r>
              <w:t>Apr 29</w:t>
            </w:r>
          </w:p>
        </w:tc>
        <w:tc>
          <w:tcPr>
            <w:tcW w:type="dxa" w:w="4752"/>
          </w:tcPr>
          <w:p>
            <w:pPr>
              <w:jc w:val="center"/>
            </w:pPr>
            <w:r>
              <w:t>Path A memos (Tülu 3, LIMA, Magpie). CC-002 embedding check. Style guide integration (32 banned phrases, 24 labeled tasks). train.py source weights.</w:t>
            </w:r>
          </w:p>
        </w:tc>
        <w:tc>
          <w:tcPr>
            <w:tcW w:type="dxa" w:w="2304"/>
          </w:tcPr>
          <w:p>
            <w:pPr>
              <w:jc w:val="center"/>
            </w:pPr>
            <w:r>
              <w:t>memo_05/06/07.md, contamination_check.json clean, 408-task dataset, updated scorer</w:t>
            </w:r>
          </w:p>
        </w:tc>
      </w:tr>
      <w:tr>
        <w:tc>
          <w:tcPr>
            <w:tcW w:type="dxa" w:w="1584"/>
          </w:tcPr>
          <w:p>
            <w:pPr>
              <w:jc w:val="center"/>
            </w:pPr>
            <w:r>
              <w:t>Day 5</w:t>
            </w:r>
          </w:p>
        </w:tc>
        <w:tc>
          <w:tcPr>
            <w:tcW w:type="dxa" w:w="1008"/>
          </w:tcPr>
          <w:p>
            <w:pPr>
              <w:jc w:val="center"/>
            </w:pPr>
            <w:r>
              <w:t>May 1</w:t>
            </w:r>
          </w:p>
        </w:tc>
        <w:tc>
          <w:tcPr>
            <w:tcW w:type="dxa" w:w="4752"/>
          </w:tcPr>
          <w:p>
            <w:pPr>
              <w:jc w:val="center"/>
            </w:pPr>
            <w:r>
              <w:t>SFT training on Colab T4. Qwen2.5-1.5B LoRA rank=16 alpha=32 via Unsloth. Filter train.jsonl to score≥0.75 pairs. 300 steps, cosine LR. Log loss curve. KILL CRITERION: if train loss has not decreased ≥0.10 by step 100 → abort, diagnose data pipeline or LR. Cost: Colab T4 free tier (~0 spend).</w:t>
            </w:r>
          </w:p>
        </w:tc>
        <w:tc>
          <w:tcPr>
            <w:tcW w:type="dxa" w:w="2304"/>
          </w:tcPr>
          <w:p>
            <w:pPr>
              <w:jc w:val="center"/>
            </w:pPr>
            <w:r>
              <w:t>bench/training/checkpoints/lora_adapter/, training_run.log</w:t>
            </w:r>
          </w:p>
        </w:tc>
      </w:tr>
      <w:tr>
        <w:tc>
          <w:tcPr>
            <w:tcW w:type="dxa" w:w="1584"/>
          </w:tcPr>
          <w:p>
            <w:pPr>
              <w:jc w:val="center"/>
            </w:pPr>
            <w:r>
              <w:t>Day 6</w:t>
            </w:r>
          </w:p>
        </w:tc>
        <w:tc>
          <w:tcPr>
            <w:tcW w:type="dxa" w:w="1008"/>
          </w:tcPr>
          <w:p>
            <w:pPr>
              <w:jc w:val="center"/>
            </w:pPr>
            <w:r>
              <w:t>May 2</w:t>
            </w:r>
          </w:p>
        </w:tc>
        <w:tc>
          <w:tcPr>
            <w:tcW w:type="dxa" w:w="4752"/>
          </w:tcPr>
          <w:p>
            <w:pPr>
              <w:jc w:val="center"/>
            </w:pPr>
            <w:r>
              <w:t>Ablations: Delta A (SFT vs baseline on held_out), Delta B (SFT vs guarded prompt-only). Paired bootstrap CI. held_out_traces.jsonl. Cost-Pareto. PIVOT TRIGGER: if held-out score delta (SFT vs baseline) &lt; 0.05 (outside 95% CI) → declare Path A insufficient, pivot to Path B (guarded prompt-only). Eval-tier spend reserved: 62 held-out tasks × 1 Sonnet 4.6 call × ~3K tokens = ~$0.56 of $10 envelope (cumulative Day 1–4 spend: ~$2.10; remaining: ~$7.90).</w:t>
            </w:r>
          </w:p>
        </w:tc>
        <w:tc>
          <w:tcPr>
            <w:tcW w:type="dxa" w:w="2304"/>
          </w:tcPr>
          <w:p>
            <w:pPr>
              <w:jc w:val="center"/>
            </w:pPr>
            <w:r>
              <w:t>ablation_results.json, held_out_traces.jsonl, statistical test output</w:t>
            </w:r>
          </w:p>
        </w:tc>
      </w:tr>
      <w:tr>
        <w:tc>
          <w:tcPr>
            <w:tcW w:type="dxa" w:w="1584"/>
          </w:tcPr>
          <w:p>
            <w:pPr>
              <w:jc w:val="center"/>
            </w:pPr>
            <w:r>
              <w:t>Day 7</w:t>
            </w:r>
          </w:p>
        </w:tc>
        <w:tc>
          <w:tcPr>
            <w:tcW w:type="dxa" w:w="1008"/>
          </w:tcPr>
          <w:p>
            <w:pPr>
              <w:jc w:val="center"/>
            </w:pPr>
            <w:r>
              <w:t>May 3</w:t>
            </w:r>
          </w:p>
        </w:tc>
        <w:tc>
          <w:tcPr>
            <w:tcW w:type="dxa" w:w="4752"/>
          </w:tcPr>
          <w:p>
            <w:pPr>
              <w:jc w:val="center"/>
            </w:pPr>
            <w:r>
              <w:t>HuggingFace dataset push (train+dev). Model push (LoRA adapter). Technical blog post (1,200–2,000 words). Community engagement (τ²-Bench GitHub issue). 2-page CEO/CFO memo. evidence_graph.json.</w:t>
            </w:r>
          </w:p>
        </w:tc>
        <w:tc>
          <w:tcPr>
            <w:tcW w:type="dxa" w:w="2304"/>
          </w:tcPr>
          <w:p>
            <w:pPr>
              <w:jc w:val="center"/>
            </w:pPr>
            <w:r>
              <w:t>HF dataset URL, HF model URL, blog URL, memo.pdf, GitHub issue link</w:t>
            </w:r>
          </w:p>
        </w:tc>
      </w:tr>
    </w:tbl>
    <w:p/>
    <w:p>
      <w:r>
        <w:t>Path A justification (committed in methodology.md): FC-3 (signal overclaim, ~40% unguarded trigger rate) and FC-1 (hallucinated firmographics, ~30%) are generation-quality failures — the model defaults to optimistic SDR copy from its training distribution regardless of enrichment signal. SFT on grounded (input, correct-output) pairs directly retrains the generation behavior. Trace evidence: TB-b2c3d4e5-0001 (FC-3) and TB-b2c3d4e5-0002 (FC-2). LIMA (Zhou et al. 2023): 141 high-quality training pairs is sufficient at this domain-specific scale. Tülu 3 (Lambert et al. 2024): data composition &gt; volume; SFT fixes distributional bias.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