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7F7C3" w14:textId="26452899" w:rsidR="006B4ADB" w:rsidRPr="002327D6" w:rsidRDefault="006B4ADB" w:rsidP="001A602E">
      <w:pPr>
        <w:rPr>
          <w:rFonts w:ascii="Times New Roman" w:hAnsi="Times New Roman" w:cs="Times New Roman"/>
          <w:b/>
          <w:bCs/>
          <w:sz w:val="32"/>
          <w:szCs w:val="32"/>
          <w:u w:val="single"/>
        </w:rPr>
      </w:pPr>
      <w:r w:rsidRPr="002327D6">
        <w:rPr>
          <w:rFonts w:ascii="Times New Roman" w:hAnsi="Times New Roman" w:cs="Times New Roman"/>
          <w:b/>
          <w:bCs/>
          <w:sz w:val="32"/>
          <w:szCs w:val="32"/>
          <w:u w:val="single"/>
        </w:rPr>
        <w:t>CBC Pathway-Level Competency Descriptions: STEM Pathway</w:t>
      </w:r>
    </w:p>
    <w:p w14:paraId="131097B9" w14:textId="6C350BBC" w:rsidR="001A602E" w:rsidRPr="00302939" w:rsidRDefault="001A602E" w:rsidP="001A602E">
      <w:pPr>
        <w:rPr>
          <w:rFonts w:ascii="Times New Roman" w:hAnsi="Times New Roman" w:cs="Times New Roman"/>
          <w:b/>
          <w:bCs/>
          <w:sz w:val="28"/>
          <w:szCs w:val="28"/>
          <w:u w:val="single"/>
        </w:rPr>
      </w:pPr>
      <w:r w:rsidRPr="002327D6">
        <w:rPr>
          <w:rFonts w:ascii="Times New Roman" w:hAnsi="Times New Roman" w:cs="Times New Roman"/>
          <w:b/>
          <w:bCs/>
          <w:sz w:val="28"/>
          <w:szCs w:val="28"/>
          <w:u w:val="single"/>
        </w:rPr>
        <w:t>Scope</w:t>
      </w:r>
      <w:r w:rsidR="00302939">
        <w:rPr>
          <w:rFonts w:ascii="Times New Roman" w:hAnsi="Times New Roman" w:cs="Times New Roman"/>
          <w:b/>
          <w:bCs/>
          <w:sz w:val="28"/>
          <w:szCs w:val="28"/>
          <w:u w:val="single"/>
        </w:rPr>
        <w:t xml:space="preserve">: </w:t>
      </w:r>
      <w:r w:rsidRPr="002327D6">
        <w:rPr>
          <w:rFonts w:ascii="Times New Roman" w:hAnsi="Times New Roman" w:cs="Times New Roman"/>
          <w:sz w:val="28"/>
          <w:szCs w:val="28"/>
        </w:rPr>
        <w:t>This document synthesizes core competency expectations for the STEM pathway based on the Basic Education Curriculum Framework (BECF) and selected Grade 10 Curriculum Designs, including Mathematics, Computer Science, ICT, Physics, Biology, and related STEM subjects. The descriptions represent pathway-level competency patterns rather than subject-specific syllabi.</w:t>
      </w:r>
    </w:p>
    <w:p w14:paraId="2976166C" w14:textId="61A388AC" w:rsidR="001A602E" w:rsidRPr="00302939" w:rsidRDefault="001A602E" w:rsidP="001A602E">
      <w:pPr>
        <w:rPr>
          <w:rFonts w:ascii="Times New Roman" w:hAnsi="Times New Roman" w:cs="Times New Roman"/>
          <w:b/>
          <w:bCs/>
          <w:sz w:val="28"/>
          <w:szCs w:val="28"/>
          <w:u w:val="single"/>
        </w:rPr>
      </w:pPr>
      <w:r w:rsidRPr="002327D6">
        <w:rPr>
          <w:rFonts w:ascii="Times New Roman" w:hAnsi="Times New Roman" w:cs="Times New Roman"/>
          <w:b/>
          <w:bCs/>
          <w:sz w:val="28"/>
          <w:szCs w:val="28"/>
          <w:u w:val="single"/>
        </w:rPr>
        <w:t>Problem-Solving</w:t>
      </w:r>
      <w:r w:rsidR="00302939">
        <w:rPr>
          <w:rFonts w:ascii="Times New Roman" w:hAnsi="Times New Roman" w:cs="Times New Roman"/>
          <w:b/>
          <w:bCs/>
          <w:sz w:val="28"/>
          <w:szCs w:val="28"/>
          <w:u w:val="single"/>
        </w:rPr>
        <w:t xml:space="preserve">: </w:t>
      </w:r>
      <w:r w:rsidRPr="002327D6">
        <w:rPr>
          <w:rFonts w:ascii="Times New Roman" w:hAnsi="Times New Roman" w:cs="Times New Roman"/>
          <w:sz w:val="28"/>
          <w:szCs w:val="28"/>
        </w:rPr>
        <w:t>In the STEM pathway, problem-solving emphasizes logical reasoning, analytical thinking, and systematic approaches to addressing scientific, mathematical, and technological challenges. Learners apply computational thinking, mathematical modeling, and scientific inquiry to analyze problems, evaluate possible solutions, and develop practical, evidence-based outcomes.</w:t>
      </w:r>
    </w:p>
    <w:p w14:paraId="1D510266" w14:textId="5E0B1E33" w:rsidR="001A602E" w:rsidRPr="00302939" w:rsidRDefault="001A602E" w:rsidP="001A602E">
      <w:pPr>
        <w:rPr>
          <w:rFonts w:ascii="Times New Roman" w:hAnsi="Times New Roman" w:cs="Times New Roman"/>
          <w:b/>
          <w:bCs/>
          <w:sz w:val="28"/>
          <w:szCs w:val="28"/>
          <w:u w:val="single"/>
        </w:rPr>
      </w:pPr>
      <w:r w:rsidRPr="002327D6">
        <w:rPr>
          <w:rFonts w:ascii="Times New Roman" w:hAnsi="Times New Roman" w:cs="Times New Roman"/>
          <w:b/>
          <w:bCs/>
          <w:sz w:val="28"/>
          <w:szCs w:val="28"/>
          <w:u w:val="single"/>
        </w:rPr>
        <w:t>Communication</w:t>
      </w:r>
      <w:r w:rsidR="00302939">
        <w:rPr>
          <w:rFonts w:ascii="Times New Roman" w:hAnsi="Times New Roman" w:cs="Times New Roman"/>
          <w:b/>
          <w:bCs/>
          <w:sz w:val="28"/>
          <w:szCs w:val="28"/>
          <w:u w:val="single"/>
        </w:rPr>
        <w:t xml:space="preserve">: </w:t>
      </w:r>
      <w:r w:rsidRPr="002327D6">
        <w:rPr>
          <w:rFonts w:ascii="Times New Roman" w:hAnsi="Times New Roman" w:cs="Times New Roman"/>
          <w:sz w:val="28"/>
          <w:szCs w:val="28"/>
        </w:rPr>
        <w:t>Communication within the STEM pathway focuses on the clear representation and explanation of scientific and technical ideas. Learners develop the ability to interpret data, present findings, document processes, and use appropriate digital and technical tools to communicate solutions effectively in academic and applied contexts.</w:t>
      </w:r>
    </w:p>
    <w:p w14:paraId="457A1BAB" w14:textId="5320697C" w:rsidR="001A602E" w:rsidRPr="00302939" w:rsidRDefault="001A602E" w:rsidP="001A602E">
      <w:pPr>
        <w:rPr>
          <w:rFonts w:ascii="Times New Roman" w:hAnsi="Times New Roman" w:cs="Times New Roman"/>
          <w:b/>
          <w:bCs/>
          <w:sz w:val="28"/>
          <w:szCs w:val="28"/>
          <w:u w:val="single"/>
        </w:rPr>
      </w:pPr>
      <w:r w:rsidRPr="002327D6">
        <w:rPr>
          <w:rFonts w:ascii="Times New Roman" w:hAnsi="Times New Roman" w:cs="Times New Roman"/>
          <w:b/>
          <w:bCs/>
          <w:sz w:val="28"/>
          <w:szCs w:val="28"/>
          <w:u w:val="single"/>
        </w:rPr>
        <w:t>Collaboration</w:t>
      </w:r>
      <w:r w:rsidR="00302939">
        <w:rPr>
          <w:rFonts w:ascii="Times New Roman" w:hAnsi="Times New Roman" w:cs="Times New Roman"/>
          <w:b/>
          <w:bCs/>
          <w:sz w:val="28"/>
          <w:szCs w:val="28"/>
          <w:u w:val="single"/>
        </w:rPr>
        <w:t xml:space="preserve">: </w:t>
      </w:r>
      <w:r w:rsidRPr="002327D6">
        <w:rPr>
          <w:rFonts w:ascii="Times New Roman" w:hAnsi="Times New Roman" w:cs="Times New Roman"/>
          <w:sz w:val="28"/>
          <w:szCs w:val="28"/>
        </w:rPr>
        <w:t>Collaboration in STEM involves working in teams to solve complex problems that require diverse skills and perspectives. The curriculum promotes cooperative learning, shared responsibility, and peer engagement, enabling learners to participate effectively in group-based investigations, projects, and technological tasks.</w:t>
      </w:r>
    </w:p>
    <w:p w14:paraId="705C96DF" w14:textId="7CCBAF91" w:rsidR="001A602E" w:rsidRPr="00302939" w:rsidRDefault="001A602E" w:rsidP="001A602E">
      <w:pPr>
        <w:rPr>
          <w:rFonts w:ascii="Times New Roman" w:hAnsi="Times New Roman" w:cs="Times New Roman"/>
          <w:b/>
          <w:bCs/>
          <w:sz w:val="28"/>
          <w:szCs w:val="28"/>
          <w:u w:val="single"/>
        </w:rPr>
      </w:pPr>
      <w:r w:rsidRPr="002327D6">
        <w:rPr>
          <w:rFonts w:ascii="Times New Roman" w:hAnsi="Times New Roman" w:cs="Times New Roman"/>
          <w:b/>
          <w:bCs/>
          <w:sz w:val="28"/>
          <w:szCs w:val="28"/>
          <w:u w:val="single"/>
        </w:rPr>
        <w:t>Scientific Reasoning</w:t>
      </w:r>
      <w:r w:rsidR="00302939">
        <w:rPr>
          <w:rFonts w:ascii="Times New Roman" w:hAnsi="Times New Roman" w:cs="Times New Roman"/>
          <w:b/>
          <w:bCs/>
          <w:sz w:val="28"/>
          <w:szCs w:val="28"/>
          <w:u w:val="single"/>
        </w:rPr>
        <w:t xml:space="preserve">: </w:t>
      </w:r>
      <w:r w:rsidRPr="002327D6">
        <w:rPr>
          <w:rFonts w:ascii="Times New Roman" w:hAnsi="Times New Roman" w:cs="Times New Roman"/>
          <w:sz w:val="28"/>
          <w:szCs w:val="28"/>
        </w:rPr>
        <w:t>Scientific reasoning is central to the STEM pathway and involves observation, experimentation, data analysis, and logical inference. Learners apply scientific methods to test hypotheses, interpret results, and draw conclusions, supporting informed decision-making and innovation in scientific and technological fields.</w:t>
      </w:r>
    </w:p>
    <w:p w14:paraId="5BF0588D" w14:textId="7A7E629E" w:rsidR="001A602E" w:rsidRPr="00302939" w:rsidRDefault="001A602E" w:rsidP="001A602E">
      <w:pPr>
        <w:rPr>
          <w:rFonts w:ascii="Times New Roman" w:hAnsi="Times New Roman" w:cs="Times New Roman"/>
          <w:b/>
          <w:bCs/>
          <w:sz w:val="28"/>
          <w:szCs w:val="28"/>
          <w:u w:val="single"/>
        </w:rPr>
      </w:pPr>
      <w:r w:rsidRPr="002327D6">
        <w:rPr>
          <w:rFonts w:ascii="Times New Roman" w:hAnsi="Times New Roman" w:cs="Times New Roman"/>
          <w:b/>
          <w:bCs/>
          <w:sz w:val="28"/>
          <w:szCs w:val="28"/>
          <w:u w:val="single"/>
        </w:rPr>
        <w:t>Use in AI-Assisted Guidance System</w:t>
      </w:r>
      <w:r w:rsidR="00302939">
        <w:rPr>
          <w:rFonts w:ascii="Times New Roman" w:hAnsi="Times New Roman" w:cs="Times New Roman"/>
          <w:b/>
          <w:bCs/>
          <w:sz w:val="28"/>
          <w:szCs w:val="28"/>
          <w:u w:val="single"/>
        </w:rPr>
        <w:t xml:space="preserve">: </w:t>
      </w:r>
      <w:r w:rsidRPr="002327D6">
        <w:rPr>
          <w:rFonts w:ascii="Times New Roman" w:hAnsi="Times New Roman" w:cs="Times New Roman"/>
          <w:sz w:val="28"/>
          <w:szCs w:val="28"/>
        </w:rPr>
        <w:t>These competency descriptions are used as reference knowledge within the AI-powered guidance system to support pathway suitability explanations, learner profiling, and competency-based interpretation of assessment outcomes.</w:t>
      </w:r>
    </w:p>
    <w:p w14:paraId="62FBD0A6" w14:textId="77777777" w:rsidR="00525145" w:rsidRPr="002327D6" w:rsidRDefault="00525145">
      <w:pPr>
        <w:rPr>
          <w:rFonts w:ascii="Times New Roman" w:hAnsi="Times New Roman" w:cs="Times New Roman"/>
          <w:sz w:val="28"/>
          <w:szCs w:val="28"/>
        </w:rPr>
      </w:pPr>
    </w:p>
    <w:sectPr w:rsidR="00525145" w:rsidRPr="00232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EC"/>
    <w:rsid w:val="00172057"/>
    <w:rsid w:val="001A602E"/>
    <w:rsid w:val="002327D6"/>
    <w:rsid w:val="00302939"/>
    <w:rsid w:val="00507F9E"/>
    <w:rsid w:val="00525145"/>
    <w:rsid w:val="005A3D90"/>
    <w:rsid w:val="005F39EC"/>
    <w:rsid w:val="006B4ADB"/>
    <w:rsid w:val="00B75895"/>
    <w:rsid w:val="00D026A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7CB9E"/>
  <w15:chartTrackingRefBased/>
  <w15:docId w15:val="{62A6A4B9-9DE8-49D2-A6E0-ADD150146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9EC"/>
    <w:rPr>
      <w:rFonts w:eastAsiaTheme="majorEastAsia" w:cstheme="majorBidi"/>
      <w:color w:val="272727" w:themeColor="text1" w:themeTint="D8"/>
    </w:rPr>
  </w:style>
  <w:style w:type="paragraph" w:styleId="Title">
    <w:name w:val="Title"/>
    <w:basedOn w:val="Normal"/>
    <w:next w:val="Normal"/>
    <w:link w:val="TitleChar"/>
    <w:uiPriority w:val="10"/>
    <w:qFormat/>
    <w:rsid w:val="005F3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9EC"/>
    <w:pPr>
      <w:spacing w:before="160"/>
      <w:jc w:val="center"/>
    </w:pPr>
    <w:rPr>
      <w:i/>
      <w:iCs/>
      <w:color w:val="404040" w:themeColor="text1" w:themeTint="BF"/>
    </w:rPr>
  </w:style>
  <w:style w:type="character" w:customStyle="1" w:styleId="QuoteChar">
    <w:name w:val="Quote Char"/>
    <w:basedOn w:val="DefaultParagraphFont"/>
    <w:link w:val="Quote"/>
    <w:uiPriority w:val="29"/>
    <w:rsid w:val="005F39EC"/>
    <w:rPr>
      <w:i/>
      <w:iCs/>
      <w:color w:val="404040" w:themeColor="text1" w:themeTint="BF"/>
    </w:rPr>
  </w:style>
  <w:style w:type="paragraph" w:styleId="ListParagraph">
    <w:name w:val="List Paragraph"/>
    <w:basedOn w:val="Normal"/>
    <w:uiPriority w:val="34"/>
    <w:qFormat/>
    <w:rsid w:val="005F39EC"/>
    <w:pPr>
      <w:ind w:left="720"/>
      <w:contextualSpacing/>
    </w:pPr>
  </w:style>
  <w:style w:type="character" w:styleId="IntenseEmphasis">
    <w:name w:val="Intense Emphasis"/>
    <w:basedOn w:val="DefaultParagraphFont"/>
    <w:uiPriority w:val="21"/>
    <w:qFormat/>
    <w:rsid w:val="005F39EC"/>
    <w:rPr>
      <w:i/>
      <w:iCs/>
      <w:color w:val="0F4761" w:themeColor="accent1" w:themeShade="BF"/>
    </w:rPr>
  </w:style>
  <w:style w:type="paragraph" w:styleId="IntenseQuote">
    <w:name w:val="Intense Quote"/>
    <w:basedOn w:val="Normal"/>
    <w:next w:val="Normal"/>
    <w:link w:val="IntenseQuoteChar"/>
    <w:uiPriority w:val="30"/>
    <w:qFormat/>
    <w:rsid w:val="005F3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9EC"/>
    <w:rPr>
      <w:i/>
      <w:iCs/>
      <w:color w:val="0F4761" w:themeColor="accent1" w:themeShade="BF"/>
    </w:rPr>
  </w:style>
  <w:style w:type="character" w:styleId="IntenseReference">
    <w:name w:val="Intense Reference"/>
    <w:basedOn w:val="DefaultParagraphFont"/>
    <w:uiPriority w:val="32"/>
    <w:qFormat/>
    <w:rsid w:val="005F3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22532">
      <w:bodyDiv w:val="1"/>
      <w:marLeft w:val="0"/>
      <w:marRight w:val="0"/>
      <w:marTop w:val="0"/>
      <w:marBottom w:val="0"/>
      <w:divBdr>
        <w:top w:val="none" w:sz="0" w:space="0" w:color="auto"/>
        <w:left w:val="none" w:sz="0" w:space="0" w:color="auto"/>
        <w:bottom w:val="none" w:sz="0" w:space="0" w:color="auto"/>
        <w:right w:val="none" w:sz="0" w:space="0" w:color="auto"/>
      </w:divBdr>
    </w:div>
    <w:div w:id="19562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BRIDGIT</dc:creator>
  <cp:keywords/>
  <dc:description/>
  <cp:lastModifiedBy>BRIDGIT</cp:lastModifiedBy>
  <cp:revision>5</cp:revision>
  <dcterms:created xsi:type="dcterms:W3CDTF">2026-01-26T14:02:00Z</dcterms:created>
  <dcterms:modified xsi:type="dcterms:W3CDTF">2026-02-18T22:36:00Z</dcterms:modified>
</cp:coreProperties>
</file>