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NOME: Bruna Gabrielly Couto                                                      Nº 01</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NOME: Pietro Anthonio Pescador Kosan                                     Nº 28                                          </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TELEFONE (S): +55 45 99846-7717 e +55 45 99944-9767</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spacing w:val="0"/>
                <w:position w:val="0"/>
                <w:sz w:val="22"/>
              </w:rPr>
            </w:pPr>
            <w:r>
              <w:rPr>
                <w:rFonts w:ascii="Arial" w:hAnsi="Arial" w:cs="Arial" w:eastAsia="Arial"/>
                <w:color w:val="auto"/>
                <w:spacing w:val="0"/>
                <w:position w:val="0"/>
                <w:sz w:val="22"/>
                <w:shd w:fill="auto" w:val="clear"/>
              </w:rPr>
              <w:t xml:space="preserve">E-MAIL: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couto.bruna@escola.pr.gov.br</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pietro.kosan@escola.pr.gov.br</w:t>
              </w:r>
            </w:hyperlink>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CURSO: Informática</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TURMA: 4°A</w:t>
            </w:r>
          </w:p>
        </w:tc>
      </w:tr>
    </w:tbl>
    <w:p>
      <w:pPr>
        <w:suppressAutoHyphens w:val="true"/>
        <w:spacing w:before="0" w:after="160" w:line="259"/>
        <w:ind w:right="0" w:left="0" w:firstLine="0"/>
        <w:jc w:val="left"/>
        <w:rPr>
          <w:rFonts w:ascii="Arial" w:hAnsi="Arial" w:cs="Arial" w:eastAsia="Arial"/>
          <w:b/>
          <w:color w:val="FF0000"/>
          <w:spacing w:val="0"/>
          <w:position w:val="0"/>
          <w:sz w:val="22"/>
          <w:shd w:fill="auto" w:val="clear"/>
        </w:rPr>
      </w:pPr>
    </w:p>
    <w:p>
      <w:pPr>
        <w:suppressAutoHyphens w:val="true"/>
        <w:spacing w:before="0" w:after="160" w:line="259"/>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ALUNO(s) É OBRIGATÓRIO EM ANEXO AO PRÉ-PROJETO, NO MÍNIMO UMA TELA DE INTERFACE (TELA PRINCIPAL) JUNTO AO PROJETO.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422" w:dyaOrig="4717">
          <v:rect xmlns:o="urn:schemas-microsoft-com:office:office" xmlns:v="urn:schemas-microsoft-com:vml" id="rectole0000000000" style="width:421.100000pt;height:23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uppressAutoHyphens w:val="true"/>
        <w:spacing w:before="0" w:after="160" w:line="259"/>
        <w:ind w:right="0" w:left="0" w:firstLine="0"/>
        <w:jc w:val="left"/>
        <w:rPr>
          <w:rFonts w:ascii="Arial" w:hAnsi="Arial" w:cs="Arial" w:eastAsia="Arial"/>
          <w:color w:val="FF0000"/>
          <w:spacing w:val="0"/>
          <w:position w:val="0"/>
          <w:sz w:val="22"/>
          <w:shd w:fill="auto" w:val="clear"/>
        </w:rPr>
      </w:pPr>
    </w:p>
    <w:p>
      <w:pPr>
        <w:suppressAutoHyphens w:val="true"/>
        <w:spacing w:before="0" w:after="160" w:line="240"/>
        <w:ind w:right="0" w:left="0" w:firstLine="0"/>
        <w:jc w:val="left"/>
        <w:rPr>
          <w:rFonts w:ascii="Arial" w:hAnsi="Arial" w:cs="Arial" w:eastAsia="Arial"/>
          <w:b/>
          <w:color w:val="auto"/>
          <w:spacing w:val="0"/>
          <w:position w:val="0"/>
          <w:sz w:val="22"/>
          <w:shd w:fill="auto" w:val="clear"/>
        </w:rPr>
      </w:pPr>
      <w:r>
        <w:object w:dxaOrig="8310" w:dyaOrig="4665">
          <v:rect xmlns:o="urn:schemas-microsoft-com:office:office" xmlns:v="urn:schemas-microsoft-com:vml" id="rectole0000000001" style="width:415.500000pt;height:23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uppressAutoHyphens w:val="true"/>
        <w:spacing w:before="0" w:after="160" w:line="240"/>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ASTORA: FLORICULTURA E PAISAGISMO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proposta do Astora é fazer um site de floricultura online, com produtos da linha paisagismo e jardinagem, o site que conectara os dois mundos as plantas naturais, sementes, flores, com o mundo digital o acesso fácil que os e-commerce proporciona. Para Costa (2012).</w:t>
            </w:r>
          </w:p>
          <w:p>
            <w:pPr>
              <w:suppressAutoHyphens w:val="true"/>
              <w:spacing w:before="0" w:after="160" w:line="259"/>
              <w:ind w:right="0" w:left="145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pPr>
              <w:suppressAutoHyphens w:val="true"/>
              <w:spacing w:before="0" w:after="160" w:line="259"/>
              <w:ind w:right="0" w:left="145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internet e suas tecnologias associadas têm mais a oferecer para essas empresas do que os ambientes tradicionais estabelecidos de comunicação e processamento de informação. (Costa,2012)</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pPr>
              <w:suppressAutoHyphens w:val="true"/>
              <w:spacing w:before="0" w:after="160" w:line="36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 O banco de dados é a organização e armazenagem de informações sobre um domínio específico. De forma mais simples, é o agrupamento de dados que tratam do mesmo assunto, e que precisam ser armazenados para segurança ou conferência futura. </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suppressAutoHyphens w:val="true"/>
              <w:spacing w:before="0" w:after="160" w:line="240"/>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Temos como objetivo, criar uma plataforma online de comércio para facilitar a acessibilidade dos usuários nas compras de itens de paisagismo e jardinagem.</w:t>
            </w:r>
          </w:p>
          <w:p>
            <w:pPr>
              <w:suppressAutoHyphens w:val="true"/>
              <w:spacing w:before="0" w:after="160" w:line="259"/>
              <w:ind w:right="0" w:left="0" w:firstLine="0"/>
              <w:jc w:val="left"/>
              <w:rPr>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2"/>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Fácil acesso entre o fornecedor e o local de entrega do cliente;</w:t>
            </w:r>
          </w:p>
          <w:p>
            <w:pPr>
              <w:numPr>
                <w:ilvl w:val="0"/>
                <w:numId w:val="52"/>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Busca de lojas mais próximas do cliente para uma entrega mais rápida dos produtos;</w:t>
            </w:r>
          </w:p>
          <w:p>
            <w:pPr>
              <w:numPr>
                <w:ilvl w:val="0"/>
                <w:numId w:val="52"/>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Nicho maior de produtos não sendo focado em apenas um certo ramo da jardinagem;</w:t>
            </w:r>
          </w:p>
          <w:p>
            <w:pPr>
              <w:numPr>
                <w:ilvl w:val="0"/>
                <w:numId w:val="52"/>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Catálogo diversificado com várias espécies de plantas, podendo escolher desde flores, até árvores e arbustos;</w:t>
            </w:r>
          </w:p>
          <w:p>
            <w:pPr>
              <w:numPr>
                <w:ilvl w:val="0"/>
                <w:numId w:val="52"/>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Venda de ferramentas de jardinagem como regadores e tesouras;</w:t>
            </w:r>
          </w:p>
          <w:p>
            <w:pPr>
              <w:suppressAutoHyphens w:val="true"/>
              <w:spacing w:before="0" w:after="160" w:line="259"/>
              <w:ind w:right="0" w:left="0" w:firstLine="0"/>
              <w:jc w:val="left"/>
              <w:rPr>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dos métodos e procedimentos que nortearão a busca de informações para responder o problema de pesquisa:</w:t>
            </w:r>
          </w:p>
          <w:p>
            <w:pPr>
              <w:numPr>
                <w:ilvl w:val="0"/>
                <w:numId w:val="59"/>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Bibliográfica</w:t>
            </w:r>
          </w:p>
          <w:p>
            <w:pPr>
              <w:numPr>
                <w:ilvl w:val="0"/>
                <w:numId w:val="59"/>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de campo</w:t>
            </w:r>
          </w:p>
          <w:p>
            <w:pPr>
              <w:numPr>
                <w:ilvl w:val="0"/>
                <w:numId w:val="59"/>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Entrevista</w:t>
            </w:r>
          </w:p>
          <w:p>
            <w:pPr>
              <w:numPr>
                <w:ilvl w:val="0"/>
                <w:numId w:val="59"/>
              </w:numPr>
              <w:tabs>
                <w:tab w:val="left" w:pos="0" w:leader="none"/>
              </w:tabs>
              <w:suppressAutoHyphens w:val="true"/>
              <w:spacing w:before="0" w:after="160" w:line="360"/>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Levantamento das necessidades</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COSTA, Renato Machado et al. Ambiente interno para inovação em uma empresa de e-commerce. </w:t>
            </w:r>
            <w:r>
              <w:rPr>
                <w:rFonts w:ascii="Arial" w:hAnsi="Arial" w:cs="Arial" w:eastAsia="Arial"/>
                <w:b/>
                <w:color w:val="222222"/>
                <w:spacing w:val="0"/>
                <w:position w:val="0"/>
                <w:sz w:val="20"/>
                <w:shd w:fill="FFFFFF" w:val="clear"/>
              </w:rPr>
              <w:t xml:space="preserve">RAI Revista de Administração e Inovação</w:t>
            </w:r>
            <w:r>
              <w:rPr>
                <w:rFonts w:ascii="Arial" w:hAnsi="Arial" w:cs="Arial" w:eastAsia="Arial"/>
                <w:color w:val="222222"/>
                <w:spacing w:val="0"/>
                <w:position w:val="0"/>
                <w:sz w:val="20"/>
                <w:shd w:fill="FFFFFF" w:val="clear"/>
              </w:rPr>
              <w:t xml:space="preserve">, v. 9, n. 2, p. 5-30, 2012.</w:t>
            </w:r>
          </w:p>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MATSUNAGA, Minoro. Potencial da floricultura brasileira. </w:t>
            </w:r>
            <w:r>
              <w:rPr>
                <w:rFonts w:ascii="Arial" w:hAnsi="Arial" w:cs="Arial" w:eastAsia="Arial"/>
                <w:b/>
                <w:color w:val="222222"/>
                <w:spacing w:val="0"/>
                <w:position w:val="0"/>
                <w:sz w:val="20"/>
                <w:shd w:fill="FFFFFF" w:val="clear"/>
              </w:rPr>
              <w:t xml:space="preserve">Agroanalysis</w:t>
            </w:r>
            <w:r>
              <w:rPr>
                <w:rFonts w:ascii="Arial" w:hAnsi="Arial" w:cs="Arial" w:eastAsia="Arial"/>
                <w:color w:val="222222"/>
                <w:spacing w:val="0"/>
                <w:position w:val="0"/>
                <w:sz w:val="20"/>
                <w:shd w:fill="FFFFFF" w:val="clear"/>
              </w:rPr>
              <w:t xml:space="preserve">, v. 15, n. 9, p. 56-56, 1995.</w:t>
            </w:r>
          </w:p>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p>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p>
          <w:p>
            <w:pPr>
              <w:suppressAutoHyphens w:val="true"/>
              <w:spacing w:before="0" w:after="160" w:line="259"/>
              <w:ind w:right="0" w:left="0" w:firstLine="0"/>
              <w:jc w:val="left"/>
              <w:rPr>
                <w:spacing w:val="0"/>
                <w:position w:val="0"/>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807" w:dyaOrig="8099">
          <v:rect xmlns:o="urn:schemas-microsoft-com:office:office" xmlns:v="urn:schemas-microsoft-com:vml" id="rectole0000000002" style="width:440.350000pt;height:40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2">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mailto:couto.bruna@escola.pr.gov.br"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mailto:pietro.kosan@escola.pr.gov.br"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