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ADVISER PROFILE — one-page bio for proposals</w:t>
      </w:r>
      <w:r>
        <w:t xml:space="preserve"> </w:t>
      </w:r>
      <w:r>
        <w:t xml:space="preserve">Last updated 3 February 2026</w:t>
      </w:r>
    </w:p>
    <w:p>
      <w:pPr>
        <w:pStyle w:val="BodyText"/>
      </w:pPr>
      <w:r>
        <w:t xml:space="preserve">Twenty-one years in strategic communications and reputation advisory, including nine years</w:t>
      </w:r>
      <w:r>
        <w:t xml:space="preserve"> </w:t>
      </w:r>
      <w:r>
        <w:t xml:space="preserve">in the Gulf. Former managing director of a global advisory firm’s regional practice, now</w:t>
      </w:r>
      <w:r>
        <w:t xml:space="preserve"> </w:t>
      </w:r>
      <w:r>
        <w:t xml:space="preserve">operating independently since 2024.</w:t>
      </w:r>
    </w:p>
    <w:p>
      <w:pPr>
        <w:pStyle w:val="BodyText"/>
      </w:pPr>
      <w:r>
        <w:t xml:space="preserve">SECTOR DEPTH</w:t>
      </w:r>
      <w:r>
        <w:t xml:space="preserve"> </w:t>
      </w:r>
      <w:r>
        <w:t xml:space="preserve">Financial services (retail and sovereign), aviation, family offices, and regulated utilities.</w:t>
      </w:r>
    </w:p>
    <w:p>
      <w:pPr>
        <w:pStyle w:val="BodyText"/>
      </w:pPr>
      <w:r>
        <w:t xml:space="preserve">REPRESENTATIVE WORK</w:t>
      </w:r>
      <w:r>
        <w:t xml:space="preserve"> </w:t>
      </w:r>
      <w:r>
        <w:t xml:space="preserve">Merger stakeholder programme for a retail bank with 41 mapped counterparties. Operational</w:t>
      </w:r>
      <w:r>
        <w:t xml:space="preserve"> </w:t>
      </w:r>
      <w:r>
        <w:t xml:space="preserve">crisis response for a national carrier across a four-day grounding event. Communications</w:t>
      </w:r>
      <w:r>
        <w:t xml:space="preserve"> </w:t>
      </w:r>
      <w:r>
        <w:t xml:space="preserve">strategy review for a sovereign investment authority’s direct-investment portfolio.</w:t>
      </w:r>
    </w:p>
    <w:p>
      <w:pPr>
        <w:pStyle w:val="BodyText"/>
      </w:pPr>
      <w:r>
        <w:t xml:space="preserve">LANGUAGES</w:t>
      </w:r>
      <w:r>
        <w:t xml:space="preserve"> </w:t>
      </w:r>
      <w:r>
        <w:t xml:space="preserve">English, French, working Arabic.</w:t>
      </w:r>
    </w:p>
    <w:p>
      <w:pPr>
        <w:pStyle w:val="BodyText"/>
      </w:pPr>
      <w:r>
        <w:t xml:space="preserve">NOTE FOR PROPOSAL USE</w:t>
      </w:r>
      <w:r>
        <w:t xml:space="preserve"> </w:t>
      </w:r>
      <w:r>
        <w:t xml:space="preserve">Prior-firm work may be described by sector and shape but never by client name. Named</w:t>
      </w:r>
      <w:r>
        <w:t xml:space="preserve"> </w:t>
      </w:r>
      <w:r>
        <w:t xml:space="preserve">references are available only for post-2024 independent engagements.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2026-09-19T23:30:13Z</dcterms:created>
  <dcterms:modified xsi:type="dcterms:W3CDTF">2026-09-19T23:30:13Z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