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CHANGE ORDER A1 to SOW-2026-031-A</w:t>
      </w:r>
      <w:r>
        <w:t xml:space="preserve"> </w:t>
      </w:r>
      <w:r>
        <w:t xml:space="preserve">Client: Halvorsen Family Office (fictional)</w:t>
      </w:r>
      <w:r>
        <w:t xml:space="preserve"> </w:t>
      </w:r>
      <w:r>
        <w:t xml:space="preserve">Signed: 19 August 2026</w:t>
      </w:r>
    </w:p>
    <w:p>
      <w:pPr>
        <w:pStyle w:val="BodyText"/>
      </w:pPr>
      <w:r>
        <w:t xml:space="preserve">REASON</w:t>
      </w:r>
      <w:r>
        <w:t xml:space="preserve"> </w:t>
      </w:r>
      <w:r>
        <w:t xml:space="preserve">Between 14 July and 8 August the client made four requests that fall outside the scope of</w:t>
      </w:r>
      <w:r>
        <w:t xml:space="preserve"> </w:t>
      </w:r>
      <w:r>
        <w:t xml:space="preserve">SOW-2026-031-A: two drafts of a transaction announcement, one briefing with a counterparty’s</w:t>
      </w:r>
      <w:r>
        <w:t xml:space="preserve"> </w:t>
      </w:r>
      <w:r>
        <w:t xml:space="preserve">adviser, and one review of a regulatory submission.</w:t>
      </w:r>
    </w:p>
    <w:p>
      <w:pPr>
        <w:pStyle w:val="BodyText"/>
      </w:pPr>
      <w:r>
        <w:t xml:space="preserve">DISPOSITION</w:t>
      </w:r>
      <w:r>
        <w:t xml:space="preserve"> </w:t>
      </w:r>
      <w:r>
        <w:t xml:space="preserve">The two announcement drafts and the regulatory review are added to scope. The counterparty</w:t>
      </w:r>
      <w:r>
        <w:t xml:space="preserve"> </w:t>
      </w:r>
      <w:r>
        <w:t xml:space="preserve">briefing is refused and remains excluded.</w:t>
      </w:r>
    </w:p>
    <w:p>
      <w:pPr>
        <w:pStyle w:val="BodyText"/>
      </w:pPr>
      <w:r>
        <w:t xml:space="preserve">ADDITIONAL FEE</w:t>
      </w:r>
      <w:r>
        <w:t xml:space="preserve"> </w:t>
      </w:r>
      <w:r>
        <w:t xml:space="preserve">31 hours at the senior counsel advisory rate, USD 13,175, invoiced separately from the</w:t>
      </w:r>
      <w:r>
        <w:t xml:space="preserve"> </w:t>
      </w:r>
      <w:r>
        <w:t xml:space="preserve">retainer.</w:t>
      </w:r>
    </w:p>
    <w:p>
      <w:pPr>
        <w:pStyle w:val="BodyText"/>
      </w:pPr>
      <w:r>
        <w:t xml:space="preserve">NOTE</w:t>
      </w:r>
      <w:r>
        <w:t xml:space="preserve"> </w:t>
      </w:r>
      <w:r>
        <w:t xml:space="preserve">Three of these four requests were performed before this change order was signed and were</w:t>
      </w:r>
      <w:r>
        <w:t xml:space="preserve"> </w:t>
      </w:r>
      <w:r>
        <w:t xml:space="preserve">therefore at the Adviser’s risk. That is the second time this has happened on this account.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2026-09-19T23:30:13Z</dcterms:created>
  <dcterms:modified xsi:type="dcterms:W3CDTF">2026-09-19T23:30:13Z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