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Metadata"/>
      </w:pPr>
      <w:r>
        <w:t xml:space="preserve">BATANGAS STATE UNIVERSITY - The National Engineering University</w:t>
      </w:r>
    </w:p>
    <w:p>
      <w:pPr>
        <w:pStyle w:val="Metadata"/>
      </w:pPr>
      <w:r>
        <w:t xml:space="preserve">ARASOF Nasugbu Campus | College of Informatics and Computing Sciences</w:t>
      </w:r>
    </w:p>
    <w:p>
      <w:pPr>
        <w:pStyle w:val="Title"/>
      </w:pPr>
      <w:r>
        <w:t xml:space="preserve">TeaFlow IoT Progress Report</w:t>
      </w:r>
    </w:p>
    <w:p>
      <w:pPr>
        <w:pStyle w:val="Subtitle"/>
      </w:pPr>
      <w:r>
        <w:t xml:space="preserve">IoT-Enabled Cashier and Kitchen Order Monitoring System</w:t>
      </w:r>
    </w:p>
    <w:p>
      <w:pPr>
        <w:pStyle w:val="Metadata"/>
      </w:pPr>
      <w:r>
        <w:t xml:space="preserve">Reporting date: October 15, 2026 | Course: IoT | Client: BESTBREW Milk Tea Shop</w:t>
      </w:r>
    </w:p>
    <w:p>
      <w:pPr>
        <w:pStyle w:val="Metadata"/>
      </w:pPr>
      <w:r>
        <w:t xml:space="preserve">Prepared by: Jonson, John Paul M.; Montealegre, Melchor III I.; Zara, Meecaela B.</w:t>
      </w:r>
    </w:p>
    <w:p>
      <w:pPr>
        <w:pStyle w:val="Metadata"/>
      </w:pPr>
      <w:r>
        <w:t xml:space="preserve">Submitted to: Mr. Calvin John V. Placio, Course Facilitator</w:t>
      </w:r>
    </w:p>
    <w:p>
      <w:pPr>
        <w:pStyle w:val="Heading1"/>
      </w:pPr>
      <w:r>
        <w:t xml:space="preserve">1. Overall progress</w:t>
      </w:r>
    </w:p>
    <w:p>
      <w:pPr>
        <w:pStyle w:val="Normal"/>
      </w:pPr>
      <w:r>
        <w:t xml:space="preserve">The project has reached the supporting-software prototype stage. The device API, persistent order records, payment rules, and inventory deductions have been implemented and tested. ESP32 communication sketches have been prepared. The complete IoT prototype remains unfinished because touchscreen rendering, board compilation, buzzer wiring, and physical device tests are still pending.</w:t>
      </w:r>
    </w:p>
    <w:p>
      <w:pPr>
        <w:pStyle w:val="Heading1"/>
      </w:pPr>
      <w:r>
        <w:t xml:space="preserve">2. IoT scope and integration</w:t>
      </w:r>
    </w:p>
    <w:p>
      <w:pPr>
        <w:pStyle w:val="Flow"/>
      </w:pPr>
      <w:r>
        <w:t xml:space="preserve">ESP32 cashier/kitchen terminals -&gt; Flask API -&gt; Express backend -&gt; MySQL</w:t>
      </w:r>
    </w:p>
    <w:p>
      <w:pPr>
        <w:pStyle w:val="Normal"/>
      </w:pPr>
      <w:r>
        <w:t xml:space="preserve">The cashier terminal will enter walk-in orders and confirm checked payments. The kitchen terminal will display paid orders, update preparation status, and control a buzzer. Flask forwards device requests to the shared backend. Inventory is calculated from recipes and order records, rather than measured by ingredient sensors.</w:t>
      </w:r>
    </w:p>
    <w:p>
      <w:pPr>
        <w:pStyle w:val="Heading1"/>
      </w:pPr>
      <w:r>
        <w:t xml:space="preserve">3. Hardware preparation</w:t>
      </w:r>
    </w:p>
    <w:tbl>
      <w:tblPr>
        <w:tblW w:w="9360" w:type="dxa"/>
        <w:tblInd w:w="120" w:type="dxa"/>
        <w:tblLayout w:type="fixed"/>
        <w:tblBorders>
          <w:top w:val="single" w:sz="4" w:color="D7DDE3"/>
          <w:left w:val="single" w:sz="4" w:color="D7DDE3"/>
          <w:bottom w:val="single" w:sz="4" w:color="D7DDE3"/>
          <w:right w:val="single" w:sz="4" w:color="D7DDE3"/>
          <w:insideH w:val="single" w:sz="4" w:color="D7DDE3"/>
          <w:insideV w:val="single" w:sz="4" w:color="D7DDE3"/>
        </w:tblBorders>
        <w:tblCellMar>
          <w:top w:w="80" w:type="dxa"/>
          <w:bottom w:w="80" w:type="dxa"/>
          <w:start w:w="120" w:type="dxa"/>
          <w:end w:w="120" w:type="dxa"/>
        </w:tblCellMar>
      </w:tblPr>
      <w:tblGrid>
        <w:gridCol w:w="2100"/>
        <w:gridCol w:w="3300"/>
        <w:gridCol w:w="3960"/>
      </w:tblGrid>
      <w:tr>
        <w:trPr>
          <w:cantSplit/>
          <w:tblHeader/>
        </w:trPr>
        <w:tc>
          <w:tcPr>
            <w:tcW w:w="2100" w:type="dxa"/>
            <w:shd w:val="clear" w:fill="F2F4F7"/>
            <w:vAlign w:val="top"/>
          </w:tcPr>
          <w:p>
            <w:pPr>
              <w:pStyle w:val="TableHeader"/>
            </w:pPr>
            <w:r>
              <w:t xml:space="preserve">Component</w:t>
            </w:r>
          </w:p>
        </w:tc>
        <w:tc>
          <w:tcPr>
            <w:tcW w:w="3300" w:type="dxa"/>
            <w:shd w:val="clear" w:fill="F2F4F7"/>
            <w:vAlign w:val="top"/>
          </w:tcPr>
          <w:p>
            <w:pPr>
              <w:pStyle w:val="TableHeader"/>
            </w:pPr>
            <w:r>
              <w:t xml:space="preserve">Current selection</w:t>
            </w:r>
          </w:p>
        </w:tc>
        <w:tc>
          <w:tcPr>
            <w:tcW w:w="3960" w:type="dxa"/>
            <w:shd w:val="clear" w:fill="F2F4F7"/>
            <w:vAlign w:val="top"/>
          </w:tcPr>
          <w:p>
            <w:pPr>
              <w:pStyle w:val="TableHeader"/>
            </w:pPr>
            <w:r>
              <w:t xml:space="preserve">Progress</w:t>
            </w:r>
          </w:p>
        </w:tc>
      </w:tr>
      <w:tr>
        <w:trPr>
          <w:cantSplit/>
        </w:trPr>
        <w:tc>
          <w:tcPr>
            <w:tcW w:w="2100" w:type="dxa"/>
            <w:shd w:val="clear" w:fill="FFFFFF"/>
            <w:vAlign w:val="top"/>
          </w:tcPr>
          <w:p>
            <w:pPr>
              <w:pStyle w:val="TableText"/>
            </w:pPr>
            <w:r>
              <w:t xml:space="preserve">Cashier terminal</w:t>
            </w:r>
          </w:p>
        </w:tc>
        <w:tc>
          <w:tcPr>
            <w:tcW w:w="3300" w:type="dxa"/>
            <w:shd w:val="clear" w:fill="FFFFFF"/>
            <w:vAlign w:val="top"/>
          </w:tcPr>
          <w:p>
            <w:pPr>
              <w:pStyle w:val="TableText"/>
            </w:pPr>
            <w:r>
              <w:t xml:space="preserve">5-inch ESP32-S3 with touch</w:t>
            </w:r>
          </w:p>
        </w:tc>
        <w:tc>
          <w:tcPr>
            <w:tcW w:w="3960" w:type="dxa"/>
            <w:shd w:val="clear" w:fill="FFFFFF"/>
            <w:vAlign w:val="top"/>
          </w:tcPr>
          <w:p>
            <w:pPr>
              <w:pStyle w:val="TableText"/>
            </w:pPr>
            <w:r>
              <w:t xml:space="preserve">Purchased; board configuration pending</w:t>
            </w:r>
          </w:p>
        </w:tc>
      </w:tr>
      <w:tr>
        <w:trPr>
          <w:cantSplit/>
        </w:trPr>
        <w:tc>
          <w:tcPr>
            <w:tcW w:w="2100" w:type="dxa"/>
            <w:shd w:val="clear" w:fill="FFFFFF"/>
            <w:vAlign w:val="top"/>
          </w:tcPr>
          <w:p>
            <w:pPr>
              <w:pStyle w:val="TableText"/>
            </w:pPr>
            <w:r>
              <w:t xml:space="preserve">Kitchen terminal</w:t>
            </w:r>
          </w:p>
        </w:tc>
        <w:tc>
          <w:tcPr>
            <w:tcW w:w="3300" w:type="dxa"/>
            <w:shd w:val="clear" w:fill="FFFFFF"/>
            <w:vAlign w:val="top"/>
          </w:tcPr>
          <w:p>
            <w:pPr>
              <w:pStyle w:val="TableText"/>
            </w:pPr>
            <w:r>
              <w:t xml:space="preserve">3.5-inch capacitive touchscreen</w:t>
            </w:r>
          </w:p>
        </w:tc>
        <w:tc>
          <w:tcPr>
            <w:tcW w:w="3960" w:type="dxa"/>
            <w:shd w:val="clear" w:fill="FFFFFF"/>
            <w:vAlign w:val="top"/>
          </w:tcPr>
          <w:p>
            <w:pPr>
              <w:pStyle w:val="TableText"/>
            </w:pPr>
            <w:r>
              <w:t xml:space="preserve">Purchased; listing specifications reviewed</w:t>
            </w:r>
          </w:p>
        </w:tc>
      </w:tr>
      <w:tr>
        <w:trPr>
          <w:cantSplit/>
        </w:trPr>
        <w:tc>
          <w:tcPr>
            <w:tcW w:w="2100" w:type="dxa"/>
            <w:shd w:val="clear" w:fill="FFFFFF"/>
            <w:vAlign w:val="top"/>
          </w:tcPr>
          <w:p>
            <w:pPr>
              <w:pStyle w:val="TableText"/>
            </w:pPr>
            <w:r>
              <w:t xml:space="preserve">Active buzzer module</w:t>
            </w:r>
          </w:p>
        </w:tc>
        <w:tc>
          <w:tcPr>
            <w:tcW w:w="3300" w:type="dxa"/>
            <w:shd w:val="clear" w:fill="FFFFFF"/>
            <w:vAlign w:val="top"/>
          </w:tcPr>
          <w:p>
            <w:pPr>
              <w:pStyle w:val="TableText"/>
            </w:pPr>
            <w:r>
              <w:t xml:space="preserve">3.3 V-compatible input planned</w:t>
            </w:r>
          </w:p>
        </w:tc>
        <w:tc>
          <w:tcPr>
            <w:tcW w:w="3960" w:type="dxa"/>
            <w:shd w:val="clear" w:fill="FFFFFF"/>
            <w:vAlign w:val="top"/>
          </w:tcPr>
          <w:p>
            <w:pPr>
              <w:pStyle w:val="TableText"/>
            </w:pPr>
            <w:r>
              <w:t xml:space="preserve">Procurement confirmation and wiring pending</w:t>
            </w:r>
          </w:p>
        </w:tc>
      </w:tr>
    </w:tbl>
    <w:p>
      <w:pPr>
        <w:pStyle w:val="Source"/>
      </w:pPr>
      <w:r>
        <w:t xml:space="preserve">The original IoT proposal specifies a 7-inch cashier screen; the purchased unit is 5 inches. The smaller listing states ST77922, QSPI, and 320 x 480 resolution. These are seller specifications, not verified hardware results.</w:t>
      </w:r>
    </w:p>
    <w:p>
      <w:pPr>
        <w:spacing w:before="0" w:after="0"/>
      </w:pPr>
      <w:r>
        <w:br w:type="page"/>
      </w:r>
    </w:p>
    <w:p>
      <w:pPr>
        <w:pStyle w:val="Heading1"/>
      </w:pPr>
      <w:r>
        <w:t xml:space="preserve">4. Development status</w:t>
      </w:r>
    </w:p>
    <w:tbl>
      <w:tblPr>
        <w:tblW w:w="9360" w:type="dxa"/>
        <w:tblInd w:w="120" w:type="dxa"/>
        <w:tblLayout w:type="fixed"/>
        <w:tblBorders>
          <w:top w:val="single" w:sz="4" w:color="D7DDE3"/>
          <w:left w:val="single" w:sz="4" w:color="D7DDE3"/>
          <w:bottom w:val="single" w:sz="4" w:color="D7DDE3"/>
          <w:right w:val="single" w:sz="4" w:color="D7DDE3"/>
          <w:insideH w:val="single" w:sz="4" w:color="D7DDE3"/>
          <w:insideV w:val="single" w:sz="4" w:color="D7DDE3"/>
        </w:tblBorders>
        <w:tblCellMar>
          <w:top w:w="80" w:type="dxa"/>
          <w:bottom w:w="80" w:type="dxa"/>
          <w:start w:w="120" w:type="dxa"/>
          <w:end w:w="120" w:type="dxa"/>
        </w:tblCellMar>
      </w:tblPr>
      <w:tblGrid>
        <w:gridCol w:w="2400"/>
        <w:gridCol w:w="1800"/>
        <w:gridCol w:w="5160"/>
      </w:tblGrid>
      <w:tr>
        <w:trPr>
          <w:cantSplit/>
          <w:tblHeader/>
        </w:trPr>
        <w:tc>
          <w:tcPr>
            <w:tcW w:w="2400" w:type="dxa"/>
            <w:shd w:val="clear" w:fill="F2F4F7"/>
            <w:vAlign w:val="top"/>
          </w:tcPr>
          <w:p>
            <w:pPr>
              <w:pStyle w:val="TableHeader"/>
            </w:pPr>
            <w:r>
              <w:t xml:space="preserve">Work area</w:t>
            </w:r>
          </w:p>
        </w:tc>
        <w:tc>
          <w:tcPr>
            <w:tcW w:w="1800" w:type="dxa"/>
            <w:shd w:val="clear" w:fill="F2F4F7"/>
            <w:vAlign w:val="top"/>
          </w:tcPr>
          <w:p>
            <w:pPr>
              <w:pStyle w:val="TableHeader"/>
            </w:pPr>
            <w:r>
              <w:t xml:space="preserve">Status</w:t>
            </w:r>
          </w:p>
        </w:tc>
        <w:tc>
          <w:tcPr>
            <w:tcW w:w="5160" w:type="dxa"/>
            <w:shd w:val="clear" w:fill="F2F4F7"/>
            <w:vAlign w:val="top"/>
          </w:tcPr>
          <w:p>
            <w:pPr>
              <w:pStyle w:val="TableHeader"/>
            </w:pPr>
            <w:r>
              <w:t xml:space="preserve">Current evidence</w:t>
            </w:r>
          </w:p>
        </w:tc>
      </w:tr>
      <w:tr>
        <w:trPr>
          <w:cantSplit/>
        </w:trPr>
        <w:tc>
          <w:tcPr>
            <w:tcW w:w="2400" w:type="dxa"/>
            <w:shd w:val="clear" w:fill="FFFFFF"/>
            <w:vAlign w:val="top"/>
          </w:tcPr>
          <w:p>
            <w:pPr>
              <w:pStyle w:val="TableText"/>
            </w:pPr>
            <w:r>
              <w:t xml:space="preserve">Flask device API</w:t>
            </w:r>
          </w:p>
        </w:tc>
        <w:tc>
          <w:tcPr>
            <w:tcW w:w="1800" w:type="dxa"/>
            <w:shd w:val="clear" w:fill="FFFFFF"/>
            <w:vAlign w:val="top"/>
          </w:tcPr>
          <w:p>
            <w:pPr>
              <w:pStyle w:val="TableText"/>
            </w:pPr>
            <w:r>
              <w:t xml:space="preserve">Software verified</w:t>
            </w:r>
          </w:p>
        </w:tc>
        <w:tc>
          <w:tcPr>
            <w:tcW w:w="5160" w:type="dxa"/>
            <w:shd w:val="clear" w:fill="FFFFFF"/>
            <w:vAlign w:val="top"/>
          </w:tcPr>
          <w:p>
            <w:pPr>
              <w:pStyle w:val="TableText"/>
            </w:pPr>
            <w:r>
              <w:t xml:space="preserve">Authenticated requests and forwarding tested</w:t>
            </w:r>
          </w:p>
        </w:tc>
      </w:tr>
      <w:tr>
        <w:trPr>
          <w:cantSplit/>
        </w:trPr>
        <w:tc>
          <w:tcPr>
            <w:tcW w:w="2400" w:type="dxa"/>
            <w:shd w:val="clear" w:fill="FFFFFF"/>
            <w:vAlign w:val="top"/>
          </w:tcPr>
          <w:p>
            <w:pPr>
              <w:pStyle w:val="TableText"/>
            </w:pPr>
            <w:r>
              <w:t xml:space="preserve">Payment and inventory rules</w:t>
            </w:r>
          </w:p>
        </w:tc>
        <w:tc>
          <w:tcPr>
            <w:tcW w:w="1800" w:type="dxa"/>
            <w:shd w:val="clear" w:fill="FFFFFF"/>
            <w:vAlign w:val="top"/>
          </w:tcPr>
          <w:p>
            <w:pPr>
              <w:pStyle w:val="TableText"/>
            </w:pPr>
            <w:r>
              <w:t xml:space="preserve">Software verified</w:t>
            </w:r>
          </w:p>
        </w:tc>
        <w:tc>
          <w:tcPr>
            <w:tcW w:w="5160" w:type="dxa"/>
            <w:shd w:val="clear" w:fill="FFFFFF"/>
            <w:vAlign w:val="top"/>
          </w:tcPr>
          <w:p>
            <w:pPr>
              <w:pStyle w:val="TableText"/>
            </w:pPr>
            <w:r>
              <w:t xml:space="preserve">One deduction per confirmed payment</w:t>
            </w:r>
          </w:p>
        </w:tc>
      </w:tr>
      <w:tr>
        <w:trPr>
          <w:cantSplit/>
        </w:trPr>
        <w:tc>
          <w:tcPr>
            <w:tcW w:w="2400" w:type="dxa"/>
            <w:shd w:val="clear" w:fill="FFFFFF"/>
            <w:vAlign w:val="top"/>
          </w:tcPr>
          <w:p>
            <w:pPr>
              <w:pStyle w:val="TableText"/>
            </w:pPr>
            <w:r>
              <w:t xml:space="preserve">Cashier firmware</w:t>
            </w:r>
          </w:p>
        </w:tc>
        <w:tc>
          <w:tcPr>
            <w:tcW w:w="1800" w:type="dxa"/>
            <w:shd w:val="clear" w:fill="FFFFFF"/>
            <w:vAlign w:val="top"/>
          </w:tcPr>
          <w:p>
            <w:pPr>
              <w:pStyle w:val="TableText"/>
            </w:pPr>
            <w:r>
              <w:t xml:space="preserve">Draft code</w:t>
            </w:r>
          </w:p>
        </w:tc>
        <w:tc>
          <w:tcPr>
            <w:tcW w:w="5160" w:type="dxa"/>
            <w:shd w:val="clear" w:fill="FFFFFF"/>
            <w:vAlign w:val="top"/>
          </w:tcPr>
          <w:p>
            <w:pPr>
              <w:pStyle w:val="TableText"/>
            </w:pPr>
            <w:r>
              <w:t xml:space="preserve">Order creation, payment, and completion commands</w:t>
            </w:r>
          </w:p>
        </w:tc>
      </w:tr>
      <w:tr>
        <w:trPr>
          <w:cantSplit/>
        </w:trPr>
        <w:tc>
          <w:tcPr>
            <w:tcW w:w="2400" w:type="dxa"/>
            <w:shd w:val="clear" w:fill="FFFFFF"/>
            <w:vAlign w:val="top"/>
          </w:tcPr>
          <w:p>
            <w:pPr>
              <w:pStyle w:val="TableText"/>
            </w:pPr>
            <w:r>
              <w:t xml:space="preserve">Kitchen firmware</w:t>
            </w:r>
          </w:p>
        </w:tc>
        <w:tc>
          <w:tcPr>
            <w:tcW w:w="1800" w:type="dxa"/>
            <w:shd w:val="clear" w:fill="FFFFFF"/>
            <w:vAlign w:val="top"/>
          </w:tcPr>
          <w:p>
            <w:pPr>
              <w:pStyle w:val="TableText"/>
            </w:pPr>
            <w:r>
              <w:t xml:space="preserve">Draft code</w:t>
            </w:r>
          </w:p>
        </w:tc>
        <w:tc>
          <w:tcPr>
            <w:tcW w:w="5160" w:type="dxa"/>
            <w:shd w:val="clear" w:fill="FFFFFF"/>
            <w:vAlign w:val="top"/>
          </w:tcPr>
          <w:p>
            <w:pPr>
              <w:pStyle w:val="TableText"/>
            </w:pPr>
            <w:r>
              <w:t xml:space="preserve">Paid queue, status commands, and buzzer logic</w:t>
            </w:r>
          </w:p>
        </w:tc>
      </w:tr>
      <w:tr>
        <w:trPr>
          <w:cantSplit/>
        </w:trPr>
        <w:tc>
          <w:tcPr>
            <w:tcW w:w="2400" w:type="dxa"/>
            <w:shd w:val="clear" w:fill="FFFFFF"/>
            <w:vAlign w:val="top"/>
          </w:tcPr>
          <w:p>
            <w:pPr>
              <w:pStyle w:val="TableText"/>
            </w:pPr>
            <w:r>
              <w:t xml:space="preserve">Touchscreen input/output</w:t>
            </w:r>
          </w:p>
        </w:tc>
        <w:tc>
          <w:tcPr>
            <w:tcW w:w="1800" w:type="dxa"/>
            <w:shd w:val="clear" w:fill="FFFFFF"/>
            <w:vAlign w:val="top"/>
          </w:tcPr>
          <w:p>
            <w:pPr>
              <w:pStyle w:val="TableText"/>
            </w:pPr>
            <w:r>
              <w:t xml:space="preserve">Pending</w:t>
            </w:r>
          </w:p>
        </w:tc>
        <w:tc>
          <w:tcPr>
            <w:tcW w:w="5160" w:type="dxa"/>
            <w:shd w:val="clear" w:fill="FFFFFF"/>
            <w:vAlign w:val="top"/>
          </w:tcPr>
          <w:p>
            <w:pPr>
              <w:pStyle w:val="TableText"/>
            </w:pPr>
            <w:r>
              <w:t xml:space="preserve">Display and touch drivers not integrated</w:t>
            </w:r>
          </w:p>
        </w:tc>
      </w:tr>
      <w:tr>
        <w:trPr>
          <w:cantSplit/>
        </w:trPr>
        <w:tc>
          <w:tcPr>
            <w:tcW w:w="2400" w:type="dxa"/>
            <w:shd w:val="clear" w:fill="FFFFFF"/>
            <w:vAlign w:val="top"/>
          </w:tcPr>
          <w:p>
            <w:pPr>
              <w:pStyle w:val="TableText"/>
            </w:pPr>
            <w:r>
              <w:t xml:space="preserve">Physical buzzer and Wi-Fi</w:t>
            </w:r>
          </w:p>
        </w:tc>
        <w:tc>
          <w:tcPr>
            <w:tcW w:w="1800" w:type="dxa"/>
            <w:shd w:val="clear" w:fill="FFFFFF"/>
            <w:vAlign w:val="top"/>
          </w:tcPr>
          <w:p>
            <w:pPr>
              <w:pStyle w:val="TableText"/>
            </w:pPr>
            <w:r>
              <w:t xml:space="preserve">Pending tests</w:t>
            </w:r>
          </w:p>
        </w:tc>
        <w:tc>
          <w:tcPr>
            <w:tcW w:w="5160" w:type="dxa"/>
            <w:shd w:val="clear" w:fill="FFFFFF"/>
            <w:vAlign w:val="top"/>
          </w:tcPr>
          <w:p>
            <w:pPr>
              <w:pStyle w:val="TableText"/>
            </w:pPr>
            <w:r>
              <w:t xml:space="preserve">Code prepared; no board results recorded</w:t>
            </w:r>
          </w:p>
        </w:tc>
      </w:tr>
      <w:tr>
        <w:trPr>
          <w:cantSplit/>
        </w:trPr>
        <w:tc>
          <w:tcPr>
            <w:tcW w:w="2400" w:type="dxa"/>
            <w:shd w:val="clear" w:fill="FFFFFF"/>
            <w:vAlign w:val="top"/>
          </w:tcPr>
          <w:p>
            <w:pPr>
              <w:pStyle w:val="TableText"/>
            </w:pPr>
            <w:r>
              <w:t xml:space="preserve">Wokwi simulation</w:t>
            </w:r>
          </w:p>
        </w:tc>
        <w:tc>
          <w:tcPr>
            <w:tcW w:w="1800" w:type="dxa"/>
            <w:shd w:val="clear" w:fill="FFFFFF"/>
            <w:vAlign w:val="top"/>
          </w:tcPr>
          <w:p>
            <w:pPr>
              <w:pStyle w:val="TableText"/>
            </w:pPr>
            <w:r>
              <w:t xml:space="preserve">Planned</w:t>
            </w:r>
          </w:p>
        </w:tc>
        <w:tc>
          <w:tcPr>
            <w:tcW w:w="5160" w:type="dxa"/>
            <w:shd w:val="clear" w:fill="FFFFFF"/>
            <w:vAlign w:val="top"/>
          </w:tcPr>
          <w:p>
            <w:pPr>
              <w:pStyle w:val="TableText"/>
            </w:pPr>
            <w:r>
              <w:t xml:space="preserve">No simulator project or trial completed</w:t>
            </w:r>
          </w:p>
        </w:tc>
      </w:tr>
    </w:tbl>
    <w:p>
      <w:pPr>
        <w:pStyle w:val="Heading1"/>
      </w:pPr>
      <w:r>
        <w:t xml:space="preserve">5. Completed software work</w:t>
      </w:r>
    </w:p>
    <w:p>
      <w:pPr>
        <w:pStyle w:val="ListBullet"/>
        <w:numPr>
          <w:ilvl w:val="0"/>
          <w:numId w:val="1"/>
        </w:numPr>
      </w:pPr>
      <w:r>
        <w:t xml:space="preserve">Role-specific device keys separate cashier actions from kitchen actions. The kitchen cannot confirm payment or complete handover.</w:t>
      </w:r>
    </w:p>
    <w:p>
      <w:pPr>
        <w:pStyle w:val="ListBullet"/>
        <w:numPr>
          <w:ilvl w:val="0"/>
          <w:numId w:val="1"/>
        </w:numPr>
      </w:pPr>
      <w:r>
        <w:t xml:space="preserve">The API provides menu data, order creation, state refresh, payment confirmation, and preparation-status updates through HTTP and JSON.</w:t>
      </w:r>
    </w:p>
    <w:p>
      <w:pPr>
        <w:pStyle w:val="ListBullet"/>
        <w:numPr>
          <w:ilvl w:val="0"/>
          <w:numId w:val="1"/>
        </w:numPr>
      </w:pPr>
      <w:r>
        <w:t xml:space="preserve">Order creation remains Unpaid. Payment confirmation and ingredient deductions are committed together; retries preserve the order identity.</w:t>
      </w:r>
    </w:p>
    <w:p>
      <w:pPr>
        <w:pStyle w:val="ListBullet"/>
        <w:numPr>
          <w:ilvl w:val="0"/>
          <w:numId w:val="1"/>
        </w:numPr>
      </w:pPr>
      <w:r>
        <w:t xml:space="preserve">Firmware drafts include approximately three-second polling, synchronization-error messages, pending-order retries, and saved paid-event identifiers.</w:t>
      </w:r>
    </w:p>
    <w:p>
      <w:pPr>
        <w:pStyle w:val="Heading1"/>
      </w:pPr>
      <w:r>
        <w:t xml:space="preserve">6. Verification results</w:t>
      </w:r>
    </w:p>
    <w:p>
      <w:pPr>
        <w:pStyle w:val="Normal"/>
      </w:pPr>
      <w:r>
        <w:t xml:space="preserve">Twenty Express/MySQL tests and six Flask tests passed, for 26 software checks in total. The central suite includes a live Flask-to-Express/MySQL integration test. Verified cases include duplicate creation and payment requests, insufficient-stock rollback, authorized status transitions, low-stock thresholds, and backend outage reporting.</w:t>
      </w:r>
    </w:p>
    <w:p>
      <w:pPr>
        <w:pStyle w:val="Source"/>
      </w:pPr>
      <w:r>
        <w:t xml:space="preserve">These results verify software behavior. They do not confirm touchscreen operation, ESP32 compilation, actual Wi-Fi performance, or audible buzzer behavior on the purchased hardware.</w:t>
      </w:r>
    </w:p>
    <w:p>
      <w:pPr>
        <w:spacing w:before="0" w:after="0"/>
      </w:pPr>
      <w:r>
        <w:br w:type="page"/>
      </w:r>
    </w:p>
    <w:p>
      <w:pPr>
        <w:pStyle w:val="Heading1"/>
      </w:pPr>
      <w:r>
        <w:t xml:space="preserve">7. Challenges and limitations</w:t>
      </w:r>
    </w:p>
    <w:p>
      <w:pPr>
        <w:pStyle w:val="ListBullet"/>
        <w:numPr>
          <w:ilvl w:val="0"/>
          <w:numId w:val="1"/>
        </w:numPr>
      </w:pPr>
      <w:r>
        <w:t xml:space="preserve">Exact board revisions, GPIO maps, and touch-controller details remain unidentified. The seller example projects and pinout files are not available.</w:t>
      </w:r>
    </w:p>
    <w:p>
      <w:pPr>
        <w:pStyle w:val="ListBullet"/>
        <w:numPr>
          <w:ilvl w:val="0"/>
          <w:numId w:val="1"/>
        </w:numPr>
      </w:pPr>
      <w:r>
        <w:t xml:space="preserve">The sketches currently use Serial Monitor commands and output. They do not yet draw the cashier or kitchen touchscreen interfaces.</w:t>
      </w:r>
    </w:p>
    <w:p>
      <w:pPr>
        <w:pStyle w:val="ListBullet"/>
        <w:numPr>
          <w:ilvl w:val="0"/>
          <w:numId w:val="1"/>
        </w:numPr>
      </w:pPr>
      <w:r>
        <w:t xml:space="preserve">The buzzer output is disabled at GPIO -1 until a verified usable pin and compatible module wiring are established. No physical buzzer test has been performed.</w:t>
      </w:r>
    </w:p>
    <w:p>
      <w:pPr>
        <w:pStyle w:val="ListBullet"/>
        <w:numPr>
          <w:ilvl w:val="0"/>
          <w:numId w:val="1"/>
        </w:numPr>
      </w:pPr>
      <w:r>
        <w:t xml:space="preserve">Initial recipes and stock use sample portions. The saved BESTBREW recipe dump contains mismatched ingredient references, so actual shop recipes and opening stock must be confirmed.</w:t>
      </w:r>
    </w:p>
    <w:p>
      <w:pPr>
        <w:pStyle w:val="ListBullet"/>
        <w:numPr>
          <w:ilvl w:val="0"/>
          <w:numId w:val="1"/>
        </w:numPr>
      </w:pPr>
      <w:r>
        <w:t xml:space="preserve">Wokwi has been considered for interface and communication trials, but no simulation results are available. Physical testing remains necessary for the purchased display controllers and wiring.</w:t>
      </w:r>
    </w:p>
    <w:p>
      <w:pPr>
        <w:pStyle w:val="Heading1"/>
      </w:pPr>
      <w:r>
        <w:t xml:space="preserve">8. Next activities</w:t>
      </w:r>
    </w:p>
    <w:p>
      <w:pPr>
        <w:pStyle w:val="ListNumber"/>
        <w:numPr>
          <w:ilvl w:val="0"/>
          <w:numId w:val="2"/>
        </w:numPr>
      </w:pPr>
      <w:r>
        <w:t xml:space="preserve">Obtain clear photographs of both PCB backs and their model markings; identify the correct display, touch, and GPIO configuration.</w:t>
      </w:r>
    </w:p>
    <w:p>
      <w:pPr>
        <w:pStyle w:val="ListNumber"/>
        <w:numPr>
          <w:ilvl w:val="0"/>
          <w:numId w:val="2"/>
        </w:numPr>
      </w:pPr>
      <w:r>
        <w:t xml:space="preserve">Add the board-specific display/touch libraries and implement the cashier and kitchen interfaces.</w:t>
      </w:r>
    </w:p>
    <w:p>
      <w:pPr>
        <w:pStyle w:val="ListNumber"/>
        <w:numPr>
          <w:ilvl w:val="0"/>
          <w:numId w:val="2"/>
        </w:numPr>
      </w:pPr>
      <w:r>
        <w:t xml:space="preserve">Compile both sketches, connect each terminal to the local server, and check synchronization and reconnect behavior.</w:t>
      </w:r>
    </w:p>
    <w:p>
      <w:pPr>
        <w:pStyle w:val="ListNumber"/>
        <w:numPr>
          <w:ilvl w:val="0"/>
          <w:numId w:val="2"/>
        </w:numPr>
      </w:pPr>
      <w:r>
        <w:t xml:space="preserve">Wire and test the buzzer, including repeated refreshes and repeated payment requests.</w:t>
      </w:r>
    </w:p>
    <w:p>
      <w:pPr>
        <w:pStyle w:val="ListNumber"/>
        <w:numPr>
          <w:ilvl w:val="0"/>
          <w:numId w:val="2"/>
        </w:numPr>
      </w:pPr>
      <w:r>
        <w:t xml:space="preserve">Enter verified recipes and stock, then demonstrate Unpaid -&gt; Queued -&gt; Preparing -&gt; Ready -&gt; Completed using both terminals.</w:t>
      </w:r>
    </w:p>
    <w:p>
      <w:pPr>
        <w:pStyle w:val="Heading2"/>
      </w:pPr>
      <w:r>
        <w:t xml:space="preserve">9. Reference basis</w:t>
      </w:r>
    </w:p>
    <w:p>
      <w:pPr>
        <w:pStyle w:val="Source"/>
      </w:pPr>
      <w:r>
        <w:t xml:space="preserve">Requirements: TeaFlow IoT Project Proposal and IT 314 Web Systems Project Proposal. Implementation evidence: firmware/cashier/cashier.ino; firmware/kitchen/kitchen.ino; firmware/libraries/TeaFlowClient; iot-api/app.py and test_api.py; web/src/orders.js; web/test/system.test.js; PROJECT_PLAN.md.</w:t>
      </w:r>
    </w:p>
    <w:sectPr>
      <w:footerReference w:type="default" r:id="rId4"/>
      <w:pgSz w:w="12240" w:h="15840"/>
      <w:pgMar w:top="1440" w:right="1440" w:bottom="1440" w:left="1440" w:header="708" w:footer="708" w:gutter="0"/>
    </w:sectPr>
  </w:body>
</w:document>
</file>

<file path=word/footer1.xml><?xml version="1.0" encoding="utf-8"?>
<w:ftr xmlns:w="http://schemas.openxmlformats.org/wordprocessingml/2006/main">
  <w:p>
    <w:pPr>
      <w:pStyle w:val="Footer"/>
    </w:pPr>
    <w:r>
      <w:t xml:space="preserve">TeaFlow | IoT Progress Report | Page </w:t>
    </w:r>
    <w:fldSimple w:instr="PAGE">
      <w:r>
        <w:t>1</w:t>
      </w:r>
    </w:fldSimple>
  </w:p>
</w:ftr>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720"/>
        </w:tabs>
        <w:ind w:left="720" w:hanging="360"/>
      </w:pPr>
      <w:rPr>
        <w:rFonts w:ascii="Calibri" w:hAnsi="Calibri"/>
      </w:rPr>
    </w:lvl>
  </w:abstractNum>
  <w:abstractNum w:abstractNumId="2">
    <w:multiLevelType w:val="singleLevel"/>
    <w:lvl w:ilvl="0">
      <w:start w:val="1"/>
      <w:numFmt w:val="decimal"/>
      <w:lvlText w:val="%1."/>
      <w:lvlJc w:val="left"/>
      <w:pPr>
        <w:tabs>
          <w:tab w:val="num" w:pos="720"/>
        </w:tabs>
        <w:ind w:left="720" w:hanging="360"/>
      </w:pPr>
    </w:lvl>
  </w:abstractNum>
  <w:num w:numId="1">
    <w:abstractNumId w:val="1"/>
  </w:num>
  <w:num w:numId="2">
    <w:abstractNumId w:val="2"/>
  </w:num>
</w:numbering>
</file>

<file path=word/settings.xml><?xml version="1.0" encoding="utf-8"?>
<w:settings xmlns:w="http://schemas.openxmlformats.org/wordprocessingml/2006/main">
  <w:updateFields w:val="true"/>
  <w:defaultTabStop w:val="720"/>
</w:settings>
</file>

<file path=word/styles.xml><?xml version="1.0" encoding="utf-8"?>
<w:styles xmlns:w="http://schemas.openxmlformats.org/wordprocessingml/2006/main">
  <w:docDefaults>
    <w:rPrDefault>
      <w:rPr>
        <w:rFonts w:ascii="Calibri" w:hAnsi="Calibri" w:cs="Calibri"/>
        <w:sz w:val="22"/>
        <w:color w:val="222222"/>
      </w:rPr>
    </w:rPrDefault>
    <w:pPrDefault>
      <w:pPr>
        <w:spacing w:before="0" w:after="120" w:line="264" w:lineRule="auto"/>
      </w:pPr>
    </w:pPrDefault>
  </w:docDefaults>
  <w:style w:type="paragraph" w:default="1" w:styleId="Normal">
    <w:name w:val="Normal"/>
    <w:pPr>
      <w:widowControl/>
      <w:spacing w:before="0" w:after="120" w:line="264" w:lineRule="auto"/>
      <w:jc w:val="left"/>
    </w:pPr>
    <w:rPr>
      <w:rFonts w:ascii="Calibri" w:hAnsi="Calibri"/>
      <w:sz w:val="22"/>
      <w:color w:val="222222"/>
    </w:rPr>
  </w:style>
  <w:style w:type="paragraph" w:styleId="Title">
    <w:name w:val="Title"/>
    <w:basedOn w:val="Normal"/>
    <w:pPr>
      <w:keepNext/>
      <w:spacing w:before="140" w:after="80" w:line="264" w:lineRule="auto"/>
    </w:pPr>
    <w:rPr>
      <w:b/>
      <w:sz w:val="48"/>
      <w:color w:val="0B2545"/>
    </w:rPr>
  </w:style>
  <w:style w:type="paragraph" w:styleId="Subtitle">
    <w:name w:val="Subtitle"/>
    <w:basedOn w:val="Normal"/>
    <w:pPr>
      <w:keepNext/>
      <w:spacing w:before="0" w:after="140" w:line="264" w:lineRule="auto"/>
    </w:pPr>
    <w:rPr>
      <w:sz w:val="24"/>
      <w:color w:val="555555"/>
    </w:rPr>
  </w:style>
  <w:style w:type="paragraph" w:styleId="Heading1">
    <w:name w:val="Heading 1"/>
    <w:basedOn w:val="Normal"/>
    <w:pPr>
      <w:keepNext/>
      <w:keepLines/>
      <w:spacing w:before="320" w:after="160" w:line="264" w:lineRule="auto"/>
      <w:outlineLvl w:val="0"/>
    </w:pPr>
    <w:rPr>
      <w:b/>
      <w:sz w:val="32"/>
      <w:color w:val="2E74B5"/>
    </w:rPr>
  </w:style>
  <w:style w:type="paragraph" w:styleId="Heading2">
    <w:name w:val="Heading 2"/>
    <w:basedOn w:val="Normal"/>
    <w:pPr>
      <w:keepNext/>
      <w:spacing w:before="240" w:after="120" w:line="264" w:lineRule="auto"/>
      <w:outlineLvl w:val="1"/>
    </w:pPr>
    <w:rPr>
      <w:b/>
      <w:sz w:val="26"/>
      <w:color w:val="2E74B5"/>
    </w:rPr>
  </w:style>
  <w:style w:type="paragraph" w:styleId="Heading3">
    <w:name w:val="Heading 3"/>
    <w:basedOn w:val="Normal"/>
    <w:pPr>
      <w:keepNext/>
      <w:spacing w:before="160" w:after="80" w:line="264" w:lineRule="auto"/>
      <w:outlineLvl w:val="2"/>
    </w:pPr>
    <w:rPr>
      <w:b/>
      <w:sz w:val="24"/>
      <w:color w:val="1F4D78"/>
    </w:rPr>
  </w:style>
  <w:style w:type="paragraph" w:styleId="Metadata">
    <w:name w:val="Metadata"/>
    <w:basedOn w:val="Normal"/>
    <w:pPr>
      <w:spacing w:before="0" w:after="60" w:line="240" w:lineRule="auto"/>
    </w:pPr>
    <w:rPr>
      <w:sz w:val="20"/>
      <w:color w:val="555555"/>
    </w:rPr>
  </w:style>
  <w:style w:type="paragraph" w:styleId="ListBullet">
    <w:name w:val="List Bullet"/>
    <w:basedOn w:val="Normal"/>
    <w:pPr>
      <w:spacing w:before="0" w:after="160" w:line="280" w:lineRule="auto"/>
      <w:ind w:left="720" w:hanging="360"/>
    </w:pPr>
  </w:style>
  <w:style w:type="paragraph" w:styleId="ListNumber">
    <w:name w:val="List Number"/>
    <w:basedOn w:val="Normal"/>
    <w:pPr>
      <w:spacing w:before="0" w:after="160" w:line="280" w:lineRule="auto"/>
      <w:ind w:left="720" w:hanging="360"/>
    </w:pPr>
  </w:style>
  <w:style w:type="paragraph" w:styleId="TableText">
    <w:name w:val="Table Text"/>
    <w:basedOn w:val="Normal"/>
    <w:pPr>
      <w:spacing w:before="0" w:after="0" w:line="240" w:lineRule="auto"/>
    </w:pPr>
    <w:rPr>
      <w:sz w:val="20"/>
    </w:rPr>
  </w:style>
  <w:style w:type="paragraph" w:styleId="TableHeader">
    <w:name w:val="Table Header"/>
    <w:basedOn w:val="TableText"/>
    <w:rPr>
      <w:b/>
    </w:rPr>
  </w:style>
  <w:style w:type="paragraph" w:styleId="Source">
    <w:name w:val="Source Note"/>
    <w:basedOn w:val="Normal"/>
    <w:pPr>
      <w:spacing w:before="80" w:after="80" w:line="264" w:lineRule="auto"/>
    </w:pPr>
    <w:rPr>
      <w:sz w:val="18"/>
      <w:color w:val="555555"/>
    </w:rPr>
  </w:style>
  <w:style w:type="paragraph" w:styleId="Flow">
    <w:name w:val="System Flow"/>
    <w:basedOn w:val="Normal"/>
    <w:pPr>
      <w:spacing w:before="0" w:after="120" w:line="240" w:lineRule="auto"/>
    </w:pPr>
    <w:rPr>
      <w:rFonts w:ascii="Consolas" w:hAnsi="Consolas"/>
      <w:sz w:val="19"/>
      <w:color w:val="0B2545"/>
    </w:rPr>
  </w:style>
  <w:style w:type="paragraph" w:styleId="Footer">
    <w:name w:val="Footer"/>
    <w:basedOn w:val="Normal"/>
    <w:pPr>
      <w:jc w:val="right"/>
      <w:spacing w:before="0" w:after="0" w:line="240" w:lineRule="auto"/>
    </w:pPr>
    <w:rPr>
      <w:sz w:val="18"/>
      <w:color w:val="77777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TeaFlow IoT Progress Report</dc:title>
  <dc:subject>IoT project status as of October 15, 2026</dc:subject>
  <dc:creator>TeaFlow Project Team</dc:creator>
  <dc:description>Supporting software progress, drafted firmware, and pending hardware validation.</dc:description>
</cp:coreProperties>
</file>