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pPr>
      <w:r>
        <w:rPr>
          <w:rFonts w:ascii="Arial" w:cs="Arial" w:eastAsia="Arial" w:hAnsi="Arial"/>
          <w:b/>
          <w:bCs/>
          <w:caps/>
          <w:color w:val="C9A84C"/>
          <w:sz w:val="20"/>
          <w:szCs w:val="20"/>
        </w:rPr>
        <w:t xml:space="preserve">5EYES · WealthArchitekten</w:t>
      </w:r>
    </w:p>
    <w:p>
      <w:pPr>
        <w:spacing w:before="0" w:after="160"/>
      </w:pPr>
      <w:r>
        <w:rPr>
          <w:rFonts w:ascii="Arial" w:cs="Arial" w:eastAsia="Arial" w:hAnsi="Arial"/>
          <w:b/>
          <w:bCs/>
          <w:color w:val="0F1E34"/>
          <w:sz w:val="52"/>
          <w:szCs w:val="52"/>
        </w:rPr>
        <w:t xml:space="preserve">Fachlogik-Dokument</w:t>
      </w:r>
    </w:p>
    <w:p>
      <w:pPr>
        <w:spacing w:before="0" w:after="80"/>
      </w:pPr>
      <w:r>
        <w:rPr>
          <w:rFonts w:ascii="Arial" w:cs="Arial" w:eastAsia="Arial" w:hAnsi="Arial"/>
          <w:i/>
          <w:iCs/>
          <w:color w:val="4a6a8a"/>
          <w:sz w:val="24"/>
          <w:szCs w:val="24"/>
        </w:rPr>
        <w:t xml:space="preserve">Target Based Investing · Goal Engine · Vermögenslogik · Risikoprofile · Restriktionen</w:t>
      </w:r>
    </w:p>
    <w:p>
      <w:pPr>
        <w:spacing w:before="80" w:after="400"/>
      </w:pPr>
      <w:r>
        <w:rPr>
          <w:rFonts w:ascii="Arial" w:cs="Arial" w:eastAsia="Arial" w:hAnsi="Arial"/>
          <w:color w:val="888888"/>
          <w:sz w:val="20"/>
          <w:szCs w:val="20"/>
        </w:rPr>
        <w:t xml:space="preserve">Version 1.6 — Basis für Pflichtenheft und Entwicklung   |   Intern / Vertraulich</w:t>
      </w:r>
    </w:p>
    <w:p>
      <w:pPr>
        <w:pBdr>
          <w:bottom w:val="single" w:color="C9A84C" w:sz="12" w:space="4"/>
        </w:pBdr>
        <w:spacing w:before="0" w:after="4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Dieses Dokument fixiert die Fachlogik als verbindliche Grundlage. Offene Punkte sind explizit markiert. Es ist kein Pflichtenheft — dieses folgt im nächsten Schritt.</w:t>
      </w:r>
    </w:p>
    <w:p>
      <w:pPr>
        <w:spacing w:before="0" w:after="200"/>
      </w:pPr>
      <w:r>
        <w:t xml:space="preserve"/>
      </w:r>
    </w:p>
    <w:p>
      <w:pPr>
        <w:pStyle w:val="Heading1"/>
        <w:pBdr>
          <w:bottom w:val="single" w:color="C9A84C" w:sz="8" w:space="4"/>
        </w:pBdr>
        <w:spacing w:before="480" w:after="160"/>
      </w:pPr>
      <w:r>
        <w:rPr>
          <w:rFonts w:ascii="Arial" w:cs="Arial" w:eastAsia="Arial" w:hAnsi="Arial"/>
          <w:b/>
          <w:bCs/>
          <w:color w:val="0F1E34"/>
          <w:sz w:val="32"/>
          <w:szCs w:val="32"/>
        </w:rPr>
        <w:t xml:space="preserve">1. Anlagephilosophie: Target Based Investing (TBI)</w:t>
      </w:r>
    </w:p>
    <w:p>
      <w:pPr>
        <w:pBdr>
          <w:left w:val="single" w:color="3d6491" w:sz="12" w:space="8"/>
        </w:pBdr>
        <w:spacing w:before="80" w:after="80"/>
        <w:ind w:left="400"/>
      </w:pPr>
      <w:r>
        <w:rPr>
          <w:rFonts w:ascii="Arial" w:cs="Arial" w:eastAsia="Arial" w:hAnsi="Arial"/>
          <w:color w:val="1d3558"/>
          <w:sz w:val="20"/>
          <w:szCs w:val="20"/>
        </w:rPr>
        <w:t xml:space="preserve">Das System verfolgt einen target-based, priorisierten Optimierungsansatz. Das Risikoprofil definiert die maximal zulässige Risikoexposition. Innerhalb dieses Rahmens sucht das System jene Allokation, welche die priorisierten Ziele, Cashflows, Entnahmen, Restriktionen und Liquiditätsanforderungen des Kunden bestmöglich erfüllt. Höher priorisierte und harte Ziele gehen opportunistischen Zielen vor. Soweit diese Ziele hinreichend erfüllt sind, wird das verbleibende Renditepotenzial effizient ausgeschöpft.</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1.1 Kernprinzip</w:t>
      </w:r>
    </w:p>
    <w:p>
      <w:pPr>
        <w:pStyle w:val="ListParagraph"/>
        <w:numPr>
          <w:ilvl w:val="0"/>
          <w:numId w:val="2"/>
        </w:numPr>
        <w:spacing w:before="40" w:after="40"/>
      </w:pPr>
      <w:r>
        <w:rPr>
          <w:rFonts w:ascii="Arial" w:cs="Arial" w:eastAsia="Arial" w:hAnsi="Arial"/>
          <w:color w:val="1a1a1a"/>
          <w:sz w:val="22"/>
          <w:szCs w:val="22"/>
        </w:rPr>
        <w:t xml:space="preserve">Das Risikoprofil (1–10) setzt die maximale Risikoexposition — nicht die Zielallokation.</w:t>
      </w:r>
    </w:p>
    <w:p>
      <w:pPr>
        <w:pStyle w:val="ListParagraph"/>
        <w:numPr>
          <w:ilvl w:val="0"/>
          <w:numId w:val="2"/>
        </w:numPr>
        <w:spacing w:before="40" w:after="40"/>
      </w:pPr>
      <w:r>
        <w:rPr>
          <w:rFonts w:ascii="Arial" w:cs="Arial" w:eastAsia="Arial" w:hAnsi="Arial"/>
          <w:color w:val="1a1a1a"/>
          <w:sz w:val="22"/>
          <w:szCs w:val="22"/>
        </w:rPr>
        <w:t xml:space="preserve">Die tatsächliche Allokation wird innerhalb der Profilgrenzen so gewählt, dass die priorisierten Ziele optimal erreicht werden.</w:t>
      </w:r>
    </w:p>
    <w:p>
      <w:pPr>
        <w:pStyle w:val="ListParagraph"/>
        <w:numPr>
          <w:ilvl w:val="0"/>
          <w:numId w:val="2"/>
        </w:numPr>
        <w:spacing w:before="40" w:after="40"/>
      </w:pPr>
      <w:r>
        <w:rPr>
          <w:rFonts w:ascii="Arial" w:cs="Arial" w:eastAsia="Arial" w:hAnsi="Arial"/>
          <w:color w:val="1a1a1a"/>
          <w:sz w:val="22"/>
          <w:szCs w:val="22"/>
        </w:rPr>
        <w:t xml:space="preserve">Ein Profil 8 bedeutet nicht automatisch 80% Aktien — es bedeutet maximal dieses Risikoniveau.</w:t>
      </w:r>
    </w:p>
    <w:p>
      <w:pPr>
        <w:pStyle w:val="ListParagraph"/>
        <w:numPr>
          <w:ilvl w:val="0"/>
          <w:numId w:val="2"/>
        </w:numPr>
        <w:spacing w:before="40" w:after="40"/>
      </w:pPr>
      <w:r>
        <w:rPr>
          <w:rFonts w:ascii="Arial" w:cs="Arial" w:eastAsia="Arial" w:hAnsi="Arial"/>
          <w:color w:val="1a1a1a"/>
          <w:sz w:val="22"/>
          <w:szCs w:val="22"/>
        </w:rPr>
        <w:t xml:space="preserve">Ist das primäre Ziel defensiv (z.B. Kapitalerhalt), bleibt die Allokation auch bei hohem Profil defensiver.</w:t>
      </w:r>
    </w:p>
    <w:p>
      <w:pPr>
        <w:pStyle w:val="ListParagraph"/>
        <w:numPr>
          <w:ilvl w:val="0"/>
          <w:numId w:val="2"/>
        </w:numPr>
        <w:spacing w:before="40" w:after="40"/>
      </w:pPr>
      <w:r>
        <w:rPr>
          <w:rFonts w:ascii="Arial" w:cs="Arial" w:eastAsia="Arial" w:hAnsi="Arial"/>
          <w:color w:val="1a1a1a"/>
          <w:sz w:val="22"/>
          <w:szCs w:val="22"/>
        </w:rPr>
        <w:t xml:space="preserve">Ist das primäre Ziel offensiv (z.B. Maximierung), darf das Portfolio die Profilgrenzen voll ausschöpfen.</w:t>
      </w:r>
    </w:p>
    <w:p>
      <w:pPr>
        <w:pStyle w:val="ListParagraph"/>
        <w:numPr>
          <w:ilvl w:val="0"/>
          <w:numId w:val="2"/>
        </w:numPr>
        <w:spacing w:before="40" w:after="40"/>
      </w:pPr>
      <w:r>
        <w:rPr>
          <w:rFonts w:ascii="Arial" w:cs="Arial" w:eastAsia="Arial" w:hAnsi="Arial"/>
          <w:color w:val="1a1a1a"/>
          <w:sz w:val="22"/>
          <w:szCs w:val="22"/>
        </w:rPr>
        <w:t xml:space="preserve">Es gibt kein universelles «so wenig Risiko wie möglich» — es gibt das für diese Person optimale Portfolio innerhalb des zulässigen Rahmens.</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1.2 Gesamtvermögen und Beratungsvermögen</w:t>
      </w:r>
    </w:p>
    <w:p>
      <w:pPr>
        <w:spacing w:before="60" w:after="100"/>
      </w:pPr>
      <w:r>
        <w:rPr>
          <w:rFonts w:ascii="Arial" w:cs="Arial" w:eastAsia="Arial" w:hAnsi="Arial"/>
          <w:color w:val="1a1a1a"/>
          <w:sz w:val="22"/>
          <w:szCs w:val="22"/>
        </w:rPr>
        <w:t xml:space="preserve">Das System arbeitet mit zwei unabhängigen fachlichen Dimensionen: der Vermögensdimension und der Umsetzungsdimension. Diese sind verschieden und ergänzen sich — sie ersetzen sich nicht.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38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Gesamtvermögen</w:t>
            </w:r>
          </w:p>
        </w:tc>
        <w:tc>
          <w:tcPr>
            <w:tcW w:type="dxa" w:w="378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Beratungsvermögen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Definition</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Gesamte wirtschaftliche Vermögens- und Schuldensituation des Kunden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Nur jener Teil, der heute effektiv investierbar ist</w:t>
            </w:r>
          </w:p>
        </w:tc>
      </w:tr>
      <w:tr>
        <w:tc>
          <w:tcPr>
            <w:tcW w:type="dxa" w:w="2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Enthält</w:t>
            </w:r>
          </w:p>
        </w:tc>
        <w:tc>
          <w:tcPr>
            <w:tcW w:type="dxa" w:w="33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Frei investierbare Mittel, Direktimmobilien, extern verwaltete Depots, Vorsorgewerte (2./3. Säule), illiquide Anlagen, Custom Assets, Kredite</w:t>
            </w:r>
          </w:p>
        </w:tc>
        <w:tc>
          <w:tcPr>
            <w:tcW w:type="dxa" w:w="37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Freies, heute investierbares Vermögen — ohne gebundene, illiquide oder extern verwaltete Positionen (sofern nicht explizit zugewiesen)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Zweck</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Holistische Vermögenssicht: Klumpenrisiken, Illiquidität, Gesamtstruktur, Zieltragfähigkeit beurteilen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Soll-Allokation, Optimierung, Produktauswahl und Portfolioempfehlung</w:t>
            </w:r>
          </w:p>
        </w:tc>
      </w:tr>
      <w:tr>
        <w:tc>
          <w:tcPr>
            <w:tcW w:type="dxa" w:w="2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Beeinflusst Allokation?</w:t>
            </w:r>
          </w:p>
        </w:tc>
        <w:tc>
          <w:tcPr>
            <w:tcW w:type="dxa" w:w="33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Ja — qualitativ und quantitativ: hohe Quoten im Gesamtvermögen reduzieren oder eliminieren dieselbe Exponierung im Beratungsvermögen</w:t>
            </w:r>
          </w:p>
        </w:tc>
        <w:tc>
          <w:tcPr>
            <w:tcW w:type="dxa" w:w="37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Ja — hier wird die Allokation gebaut und umgesetzt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Wird umgeschichtet?</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Nein — standardmässig nicht</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Ja — Empfehlung, Rebalancing und Produktumsetzung erfolgen hier</w:t>
            </w:r>
          </w:p>
        </w:tc>
      </w:tr>
    </w:tbl>
    <w:p>
      <w:pPr>
        <w:spacing w:before="0" w:after="100"/>
      </w:pPr>
      <w:r>
        <w:t xml:space="preserve"/>
      </w:r>
    </w:p>
    <w:p>
      <w:pPr>
        <w:pBdr>
          <w:left w:val="single" w:color="3d6491" w:sz="12" w:space="8"/>
        </w:pBdr>
        <w:spacing w:before="80" w:after="80"/>
        <w:ind w:left="400"/>
      </w:pPr>
      <w:r>
        <w:rPr>
          <w:rFonts w:ascii="Arial" w:cs="Arial" w:eastAsia="Arial" w:hAnsi="Arial"/>
          <w:color w:val="1d3558"/>
          <w:sz w:val="20"/>
          <w:szCs w:val="20"/>
        </w:rPr>
        <w:t xml:space="preserve">Kernregel: Die Anlageempfehlung wird auf dem Beratungsvermögen konstruiert — aber unter Berücksichtigung der Struktur des Gesamtvermögens beurteilt. Alles sehen, aber nicht alles bauen.</w:t>
      </w:r>
    </w:p>
    <w:p>
      <w:pPr>
        <w:spacing w:before="0" w:after="100"/>
      </w:pPr>
      <w:r>
        <w:t xml:space="preserve"/>
      </w:r>
    </w:p>
    <w:p>
      <w:pPr>
        <w:spacing w:before="220" w:after="80"/>
      </w:pPr>
      <w:r>
        <w:rPr>
          <w:rFonts w:ascii="Arial" w:cs="Arial" w:eastAsia="Arial" w:hAnsi="Arial"/>
          <w:b/>
          <w:bCs/>
          <w:color w:val="2A4A70"/>
          <w:sz w:val="22"/>
          <w:szCs w:val="22"/>
        </w:rPr>
        <w:t xml:space="preserve">Die 5 Regeln der Vermögenslogik</w:t>
      </w:r>
    </w:p>
    <w:p>
      <w:pPr>
        <w:spacing w:before="60" w:after="100"/>
      </w:pPr>
      <w:r>
        <w:rPr>
          <w:rFonts w:ascii="Arial" w:cs="Arial" w:eastAsia="Arial" w:hAnsi="Arial"/>
          <w:b/>
          <w:bCs/>
          <w:color w:val="0F1E34"/>
          <w:sz w:val="22"/>
          <w:szCs w:val="22"/>
        </w:rPr>
        <w:t xml:space="preserve">Regel 1:  </w:t>
      </w:r>
      <w:r>
        <w:rPr>
          <w:rFonts w:ascii="Arial" w:cs="Arial" w:eastAsia="Arial" w:hAnsi="Arial"/>
          <w:color w:val="1a1a1a"/>
          <w:sz w:val="22"/>
          <w:szCs w:val="22"/>
        </w:rPr>
        <w:t xml:space="preserve">Jede Vermögensposition gehört immer zum Gesamtvermögen.</w:t>
      </w:r>
    </w:p>
    <w:p>
      <w:pPr>
        <w:spacing w:before="0" w:after="0"/>
      </w:pPr>
      <w:r>
        <w:t xml:space="preserve"/>
      </w:r>
    </w:p>
    <w:p>
      <w:pPr>
        <w:spacing w:before="60" w:after="100"/>
      </w:pPr>
      <w:r>
        <w:rPr>
          <w:rFonts w:ascii="Arial" w:cs="Arial" w:eastAsia="Arial" w:hAnsi="Arial"/>
          <w:b/>
          <w:bCs/>
          <w:color w:val="0F1E34"/>
          <w:sz w:val="22"/>
          <w:szCs w:val="22"/>
        </w:rPr>
        <w:t xml:space="preserve">Regel 2:  </w:t>
      </w:r>
      <w:r>
        <w:rPr>
          <w:rFonts w:ascii="Arial" w:cs="Arial" w:eastAsia="Arial" w:hAnsi="Arial"/>
          <w:color w:val="1a1a1a"/>
          <w:sz w:val="22"/>
          <w:szCs w:val="22"/>
        </w:rPr>
        <w:t xml:space="preserve">Je Vermögensposition wird festgelegt ob sie Teil des Beratungsvermögens ist — Ja oder Nein. Das ist die einzige Zuweisung die V1 braucht.</w:t>
      </w:r>
    </w:p>
    <w:p>
      <w:pPr>
        <w:spacing w:before="0" w:after="0"/>
      </w:pPr>
      <w:r>
        <w:t xml:space="preserve"/>
      </w:r>
    </w:p>
    <w:p>
      <w:pPr>
        <w:spacing w:before="60" w:after="100"/>
      </w:pPr>
      <w:r>
        <w:rPr>
          <w:rFonts w:ascii="Arial" w:cs="Arial" w:eastAsia="Arial" w:hAnsi="Arial"/>
          <w:b/>
          <w:bCs/>
          <w:color w:val="0F1E34"/>
          <w:sz w:val="22"/>
          <w:szCs w:val="22"/>
        </w:rPr>
        <w:t xml:space="preserve">Regel 3:  </w:t>
      </w:r>
      <w:r>
        <w:rPr>
          <w:rFonts w:ascii="Arial" w:cs="Arial" w:eastAsia="Arial" w:hAnsi="Arial"/>
          <w:color w:val="1a1a1a"/>
          <w:sz w:val="22"/>
          <w:szCs w:val="22"/>
        </w:rPr>
        <w:t xml:space="preserve">Nur Positionen im Beratungsvermögen fliessen in Soll-Allokation, Ist-/Soll-Vergleich, Produktsuche, Optimierung und Portfolioempfehlung ein.</w:t>
      </w:r>
    </w:p>
    <w:p>
      <w:pPr>
        <w:spacing w:before="0" w:after="0"/>
      </w:pPr>
      <w:r>
        <w:t xml:space="preserve"/>
      </w:r>
    </w:p>
    <w:p>
      <w:pPr>
        <w:spacing w:before="60" w:after="100"/>
      </w:pPr>
      <w:r>
        <w:rPr>
          <w:rFonts w:ascii="Arial" w:cs="Arial" w:eastAsia="Arial" w:hAnsi="Arial"/>
          <w:b/>
          <w:bCs/>
          <w:color w:val="0F1E34"/>
          <w:sz w:val="22"/>
          <w:szCs w:val="22"/>
        </w:rPr>
        <w:t xml:space="preserve">Regel 4:  </w:t>
      </w:r>
      <w:r>
        <w:rPr>
          <w:rFonts w:ascii="Arial" w:cs="Arial" w:eastAsia="Arial" w:hAnsi="Arial"/>
          <w:color w:val="1a1a1a"/>
          <w:sz w:val="22"/>
          <w:szCs w:val="22"/>
        </w:rPr>
        <w:t xml:space="preserve">Positionen ausserhalb des Beratungsvermögens bleiben sichtbar, analyse- und klumpenrisikorelevant — aber sie werden nicht automatisch umgeschichtet.</w:t>
      </w:r>
    </w:p>
    <w:p>
      <w:pPr>
        <w:spacing w:before="0" w:after="0"/>
      </w:pPr>
      <w:r>
        <w:t xml:space="preserve"/>
      </w:r>
    </w:p>
    <w:p>
      <w:pPr>
        <w:spacing w:before="60" w:after="100"/>
      </w:pPr>
      <w:r>
        <w:rPr>
          <w:rFonts w:ascii="Arial" w:cs="Arial" w:eastAsia="Arial" w:hAnsi="Arial"/>
          <w:b/>
          <w:bCs/>
          <w:color w:val="0F1E34"/>
          <w:sz w:val="22"/>
          <w:szCs w:val="22"/>
        </w:rPr>
        <w:t xml:space="preserve">Regel 5:  </w:t>
      </w:r>
      <w:r>
        <w:rPr>
          <w:rFonts w:ascii="Arial" w:cs="Arial" w:eastAsia="Arial" w:hAnsi="Arial"/>
          <w:color w:val="1a1a1a"/>
          <w:sz w:val="22"/>
          <w:szCs w:val="22"/>
        </w:rPr>
        <w:t xml:space="preserve">Die Gesamtvermögensstruktur beeinflusst die Zielallokation des Beratungsvermögens. Hohe Quoten im Gesamtvermögen (z.B. Immobilien durch Eigenheim) reduzieren oder eliminieren dieselbe Exponierung im Beratungsvermögen.</w:t>
      </w:r>
    </w:p>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Klumpenrisiko-Beispiel: Ein Kunde hat wenig Immobilien im freien Depot, besitzt aber Eigenheim und Renditeliegenschaft. Das System darf nicht isoliert das Depot sehen und Immobilien aufbauen — es muss die Gesamtstruktur berücksichtigen und die Immobilienquote im Beratungsvermögen bewusst tief halten.</w:t>
      </w:r>
    </w:p>
    <w:p>
      <w:pPr>
        <w:pBdr>
          <w:left w:val="single" w:color="C9A84C" w:sz="12" w:space="8"/>
        </w:pBdr>
        <w:spacing w:before="80" w:after="80"/>
        <w:ind w:left="400"/>
      </w:pPr>
      <w:r>
        <w:rPr>
          <w:rFonts w:ascii="Arial" w:cs="Arial" w:eastAsia="Arial" w:hAnsi="Arial"/>
          <w:i/>
          <w:iCs/>
          <w:color w:val="7a5200"/>
          <w:sz w:val="20"/>
          <w:szCs w:val="20"/>
        </w:rPr>
        <w:t xml:space="preserve">Optionale Erweiterung V2+: Vermögen ausserhalb des Beratungsvermögens kann später für Zieltragfähigkeits-Simulationen aktiviert werden — liquid durch Verkauf, illiquid durch Belehnung. Ändert nichts an der Standard-Allokationslogik V1.</w:t>
      </w:r>
    </w:p>
    <w:p>
      <w:pPr>
        <w:spacing w:before="0" w:after="100"/>
      </w:pPr>
      <w:r>
        <w:t xml:space="preserve"/>
      </w:r>
    </w:p>
    <w:p>
      <w:pPr>
        <w:spacing w:before="220" w:after="80"/>
      </w:pPr>
      <w:r>
        <w:rPr>
          <w:rFonts w:ascii="Arial" w:cs="Arial" w:eastAsia="Arial" w:hAnsi="Arial"/>
          <w:b/>
          <w:bCs/>
          <w:color w:val="2A4A70"/>
          <w:sz w:val="22"/>
          <w:szCs w:val="22"/>
        </w:rPr>
        <w:t xml:space="preserve">Zweite Dimension: Anlageuniversum (Umsetzungsebene)</w:t>
      </w:r>
    </w:p>
    <w:p>
      <w:pPr>
        <w:spacing w:before="60" w:after="100"/>
      </w:pPr>
      <w:r>
        <w:rPr>
          <w:rFonts w:ascii="Arial" w:cs="Arial" w:eastAsia="Arial" w:hAnsi="Arial"/>
          <w:color w:val="1a1a1a"/>
          <w:sz w:val="22"/>
          <w:szCs w:val="22"/>
        </w:rPr>
        <w:t xml:space="preserve">Das Universum beschreibt nicht die bestehenden Vermögenswerte des Kunden, sondern die Produkt- und Bausteinwelt, aus der die empfohlene Lösung konstruiert wird.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Universum</w:t>
            </w:r>
          </w:p>
        </w:tc>
        <w:tc>
          <w:tcPr>
            <w:tcW w:type="dxa" w:w="328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c>
          <w:tcPr>
            <w:tcW w:type="dxa" w:w="368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Beispiele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Standard</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Klassische, breit zugängliche Finanzinstrumente über normale Finanzkanäle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Aktien, Obligationen, Fonds, ETFs, Krypto, strukturierte Produkte</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Alternativ</w:t>
            </w:r>
          </w:p>
        </w:tc>
        <w:tc>
          <w:tcPr>
            <w:tcW w:type="dxa" w:w="32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Erweiterte Bausteine und nicht standardisierte Produkte; Zugang über spezifische Kanäle oder manuell</w:t>
            </w:r>
          </w:p>
        </w:tc>
        <w:tc>
          <w:tcPr>
            <w:tcW w:type="dxa" w:w="36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Private Equity, Direktimmobilien, Rohstoffe physisch, Infrastruktur, spezielle Mandate</w:t>
            </w:r>
          </w:p>
        </w:tc>
      </w:tr>
    </w:tbl>
    <w:p>
      <w:pPr>
        <w:spacing w:before="0" w:after="100"/>
      </w:pPr>
      <w:r>
        <w:t xml:space="preserve"/>
      </w:r>
    </w:p>
    <w:p>
      <w:pPr>
        <w:pBdr>
          <w:left w:val="single" w:color="3d6491" w:sz="12" w:space="8"/>
        </w:pBdr>
        <w:spacing w:before="80" w:after="80"/>
        <w:ind w:left="400"/>
      </w:pPr>
      <w:r>
        <w:rPr>
          <w:rFonts w:ascii="Arial" w:cs="Arial" w:eastAsia="Arial" w:hAnsi="Arial"/>
          <w:color w:val="1d3558"/>
          <w:sz w:val="20"/>
          <w:szCs w:val="20"/>
        </w:rPr>
        <w:t xml:space="preserve">Die Vermögensdimension beantwortet: Was ist da, und was beraten wir? — Die Umsetzungsdimension beantwortet: Womit bauen wir die Lösung?</w:t>
      </w:r>
    </w:p>
    <w:p>
      <w:pPr>
        <w:spacing w:before="0" w:after="200"/>
      </w:pPr>
      <w:r>
        <w:t xml:space="preserve"/>
      </w:r>
    </w:p>
    <w:p>
      <w:pPr>
        <w:pStyle w:val="Heading1"/>
        <w:pBdr>
          <w:bottom w:val="single" w:color="C9A84C" w:sz="8" w:space="4"/>
        </w:pBdr>
        <w:spacing w:before="480" w:after="160"/>
      </w:pPr>
      <w:r>
        <w:rPr>
          <w:rFonts w:ascii="Arial" w:cs="Arial" w:eastAsia="Arial" w:hAnsi="Arial"/>
          <w:b/>
          <w:bCs/>
          <w:color w:val="0F1E34"/>
          <w:sz w:val="32"/>
          <w:szCs w:val="32"/>
        </w:rPr>
        <w:t xml:space="preserve">2. Goal Engine — Ziellogik</w:t>
      </w:r>
    </w:p>
    <w:p>
      <w:pPr>
        <w:spacing w:before="60" w:after="100"/>
      </w:pPr>
      <w:r>
        <w:rPr>
          <w:rFonts w:ascii="Arial" w:cs="Arial" w:eastAsia="Arial" w:hAnsi="Arial"/>
          <w:color w:val="1a1a1a"/>
          <w:sz w:val="22"/>
          <w:szCs w:val="22"/>
        </w:rPr>
        <w:t xml:space="preserve">Die Goal Engine ist das Herzstück des Systems. Sie arbeitet ausschliesslich mit numerisch definierten Zielen, Cashflows und Restriktionen. 5Eyes ist kein Finanzplanungs-Tool — es ist ein target-based Allokations- und Empfehlungstool.</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2.1 Zielpriorität — Rang-System</w:t>
      </w:r>
    </w:p>
    <w:p>
      <w:pPr>
        <w:spacing w:before="60" w:after="100"/>
      </w:pPr>
      <w:r>
        <w:rPr>
          <w:rFonts w:ascii="Arial" w:cs="Arial" w:eastAsia="Arial" w:hAnsi="Arial"/>
          <w:b/>
          <w:bCs/>
          <w:color w:val="0F1E34"/>
          <w:sz w:val="22"/>
          <w:szCs w:val="22"/>
        </w:rPr>
        <w:t xml:space="preserve">Jedes Ziel erhält einen Rang (1, 2, 3 … beliebig). </w:t>
      </w:r>
      <w:r>
        <w:rPr>
          <w:rFonts w:ascii="Arial" w:cs="Arial" w:eastAsia="Arial" w:hAnsi="Arial"/>
          <w:color w:val="1a1a1a"/>
          <w:sz w:val="22"/>
          <w:szCs w:val="22"/>
        </w:rPr>
        <w:t xml:space="preserve">Rang 1 ist die höchste Priorität. Es gibt keine Obergrenze.</w:t>
      </w:r>
    </w:p>
    <w:p>
      <w:pPr>
        <w:spacing w:before="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Der Berater vergibt den Rang manuell beim Erfassen des Ziels.</w:t>
      </w:r>
    </w:p>
    <w:p>
      <w:pPr>
        <w:pStyle w:val="ListParagraph"/>
        <w:numPr>
          <w:ilvl w:val="0"/>
          <w:numId w:val="2"/>
        </w:numPr>
        <w:spacing w:before="40" w:after="40"/>
      </w:pPr>
      <w:r>
        <w:rPr>
          <w:rFonts w:ascii="Arial" w:cs="Arial" w:eastAsia="Arial" w:hAnsi="Arial"/>
          <w:color w:val="1a1a1a"/>
          <w:sz w:val="22"/>
          <w:szCs w:val="22"/>
        </w:rPr>
        <w:t xml:space="preserve">Die Reihenfolge ist per Drag &amp; Drop jederzeit anpassbar — direkt im Beratungsgespräch.</w:t>
      </w:r>
    </w:p>
    <w:p>
      <w:pPr>
        <w:pStyle w:val="ListParagraph"/>
        <w:numPr>
          <w:ilvl w:val="0"/>
          <w:numId w:val="2"/>
        </w:numPr>
        <w:spacing w:before="40" w:after="40"/>
      </w:pPr>
      <w:r>
        <w:rPr>
          <w:rFonts w:ascii="Arial" w:cs="Arial" w:eastAsia="Arial" w:hAnsi="Arial"/>
          <w:color w:val="1a1a1a"/>
          <w:sz w:val="22"/>
          <w:szCs w:val="22"/>
        </w:rPr>
        <w:t xml:space="preserve">Bei gleichem Rang gilt die Reihenfolge der Erfassung.</w:t>
      </w:r>
    </w:p>
    <w:p>
      <w:pPr>
        <w:pStyle w:val="ListParagraph"/>
        <w:numPr>
          <w:ilvl w:val="0"/>
          <w:numId w:val="2"/>
        </w:numPr>
        <w:spacing w:before="40" w:after="40"/>
      </w:pPr>
      <w:r>
        <w:rPr>
          <w:rFonts w:ascii="Arial" w:cs="Arial" w:eastAsia="Arial" w:hAnsi="Arial"/>
          <w:color w:val="1a1a1a"/>
          <w:sz w:val="22"/>
          <w:szCs w:val="22"/>
        </w:rPr>
        <w:t xml:space="preserve">Der Rang fliesst direkt in den Optimizer ein: Rang-1-Ziele werden zuerst und stärker gewichtet.</w:t>
      </w:r>
    </w:p>
    <w:p>
      <w:pPr>
        <w:pStyle w:val="ListParagraph"/>
        <w:numPr>
          <w:ilvl w:val="0"/>
          <w:numId w:val="2"/>
        </w:numPr>
        <w:spacing w:before="40" w:after="40"/>
      </w:pPr>
      <w:r>
        <w:rPr>
          <w:rFonts w:ascii="Arial" w:cs="Arial" w:eastAsia="Arial" w:hAnsi="Arial"/>
          <w:color w:val="1a1a1a"/>
          <w:sz w:val="22"/>
          <w:szCs w:val="22"/>
        </w:rPr>
        <w:t xml:space="preserve">Mehrere Ziele können denselben Rang haben — das System behandelt sie gleichwertig.</w:t>
      </w:r>
    </w:p>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Rang bestimmt die logische Priorität und wird intern in abnehmende Gewichte übersetzt: Rang 1 = 1.0, Rang 2 = 0.5, Rang 3 = 0.25, Rang 4 = 0.125 usw. Das vermeidet Cliff-Effekte bei knappen Rangunterschieden und ermöglicht eine mathematisch saubere Aggregation.</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2.2 Zieltypen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Zieltyp</w:t>
            </w:r>
          </w:p>
        </w:tc>
        <w:tc>
          <w:tcPr>
            <w:tcW w:type="dxa" w:w="37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c>
          <w:tcPr>
            <w:tcW w:type="dxa" w:w="3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Beispiele</w:t>
            </w:r>
          </w:p>
        </w:tc>
      </w:tr>
      <w:tr>
        <w:tc>
          <w:tcPr>
            <w:tcW w:type="dxa" w:w="2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Renditeziel</w:t>
            </w:r>
          </w:p>
        </w:tc>
        <w:tc>
          <w:tcPr>
            <w:tcW w:type="dxa" w:w="37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Zielrendite in % p.a., die das Portfolio nachhaltig erwirtschaften soll.
Numerisch, z.B. 3% p.a. Wird zusammen mit Netto-Cashflows bewertet.</w:t>
            </w:r>
          </w:p>
        </w:tc>
        <w:tc>
          <w:tcPr>
            <w:tcW w:type="dxa" w:w="3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3% p.a., 4% p.a.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Ausgabe- / Cashflow-Ziel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Regelmässige oder einmalige Zahlung aus dem Portfolio.
Wiederkehrend (monatlich, quartalsweise, jährlich) oder einmalig zu definiertem Termin.
Vermögensverzehr = negativer Netto-Cashflow; wird hier erfasst, nicht als eigener Zieltyp.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CHF 2000/Monat, CHF 10000/Jahr
CHF 150000 in 6 Jahren</w:t>
            </w:r>
          </w:p>
        </w:tc>
      </w:tr>
      <w:tr>
        <w:tc>
          <w:tcPr>
            <w:tcW w:type="dxa" w:w="2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Maximierungsziel</w:t>
            </w:r>
          </w:p>
        </w:tc>
        <w:tc>
          <w:tcPr>
            <w:tcW w:type="dxa" w:w="37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Maximale Rendite oder maximales Endvermögen.
Wirkt als Opportunitätsfunktion auf Stufe D — nicht als gleichrangiges Pflichtziel.</w:t>
            </w:r>
          </w:p>
        </w:tc>
        <w:tc>
          <w:tcPr>
            <w:tcW w:type="dxa" w:w="3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Max. Rendite, max. Endvermögen</w:t>
            </w:r>
          </w:p>
        </w:tc>
      </w:tr>
    </w:tbl>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Vermögensverzehr ist kein eigenständiger Zieltyp. Er entsteht wenn laufende Ausgaben die laufenden Einnahmen übersteigen — die Differenz muss aus dem Vermögen gedeckt werden. Systemisch wird dies als negativer Netto-Cashflow erfasst, identisch wie andere Ausgaben.</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2.3 Ziel-Datenfelder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18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bCs/>
                <w:color w:val="1a1a1a"/>
                <w:sz w:val="20"/>
                <w:szCs w:val="20"/>
              </w:rPr>
              <w:t xml:space="preserve">Zieltyp</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Pflichtfeld</w:t>
            </w:r>
          </w:p>
        </w:tc>
        <w:tc>
          <w:tcPr>
            <w:tcW w:type="dxa" w:w="51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Renditeziel, Ausgabe-/Cashflow-Ziel, Maximierungsziel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Rang (Priorität)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Pflichtfeld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Ganzzahl 1–∞; Rang 1 = höchste Priorität. Per Drag &amp; Drop verschiebbar.
Intern in abnehmende Gewichte übersetzt: Rang 1=1.0, Rang 2=0.5, Rang 3=0.25 usw.</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bCs/>
                <w:color w:val="1a1a1a"/>
                <w:sz w:val="20"/>
                <w:szCs w:val="20"/>
              </w:rPr>
              <w:t xml:space="preserve">Betrag / Zielwert</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Pflichtfeld</w:t>
            </w:r>
          </w:p>
        </w:tc>
        <w:tc>
          <w:tcPr>
            <w:tcW w:type="dxa" w:w="51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Numerischer Wert: CHF-Betrag oder % p.a. — kein Freitext, keine qualitativen Angaben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Horizont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Pflichtfeld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Datum, laufend oder bis Lebensende</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bCs/>
                <w:color w:val="1a1a1a"/>
                <w:sz w:val="20"/>
                <w:szCs w:val="20"/>
              </w:rPr>
              <w:t xml:space="preserve">Rhythmus</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Bedingt Pflicht</w:t>
            </w:r>
          </w:p>
        </w:tc>
        <w:tc>
          <w:tcPr>
            <w:tcW w:type="dxa" w:w="51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Nur bei wiederkehrenden Ausgaben: monatlich, quartalsweise, jährlich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Beschreibung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Freitext für Beraternotiz und Report — nicht für die Engine</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bCs/>
                <w:color w:val="1a1a1a"/>
                <w:sz w:val="20"/>
                <w:szCs w:val="20"/>
              </w:rPr>
              <w:t xml:space="preserve">Verknüpftes Asset</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Optional</w:t>
            </w:r>
          </w:p>
        </w:tc>
        <w:tc>
          <w:tcPr>
            <w:tcW w:type="dxa" w:w="51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Custom Asset oder Depotposition diesem Ziel zuordnen</w:t>
            </w:r>
          </w:p>
        </w:tc>
      </w:tr>
    </w:tbl>
    <w:p>
      <w:pPr>
        <w:spacing w:before="0" w:after="100"/>
      </w:pPr>
      <w:r>
        <w:t xml:space="preserve"/>
      </w:r>
    </w:p>
    <w:p>
      <w:pPr>
        <w:pStyle w:val="Heading2"/>
        <w:spacing w:before="320" w:after="120"/>
      </w:pPr>
      <w:r>
        <w:rPr>
          <w:rFonts w:ascii="Arial" w:cs="Arial" w:eastAsia="Arial" w:hAnsi="Arial"/>
          <w:b/>
          <w:bCs/>
          <w:color w:val="0F1E34"/>
          <w:sz w:val="26"/>
          <w:szCs w:val="26"/>
        </w:rPr>
        <w:t xml:space="preserve">2.4 Optimizer-Hierarchie — 4 Stufen</w:t>
      </w:r>
    </w:p>
    <w:p>
      <w:pPr>
        <w:spacing w:before="60" w:after="100"/>
      </w:pPr>
      <w:r>
        <w:rPr>
          <w:rFonts w:ascii="Arial" w:cs="Arial" w:eastAsia="Arial" w:hAnsi="Arial"/>
          <w:color w:val="1a1a1a"/>
          <w:sz w:val="22"/>
          <w:szCs w:val="22"/>
        </w:rPr>
        <w:t xml:space="preserve">Der Optimizer arbeitet in vier aufeinanderfolgenden Stufen. Eine höhere Stufe wird nur erreicht, wenn die tiefere bestanden ist: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60"/>
        <w:gridCol w:w="2600"/>
      </w:tblGrid>
      <w:tr>
        <w:trPr>
          <w:tblHeader/>
        </w:trPr>
        <w:tc>
          <w:tcPr>
            <w:tcW w:type="dxa" w:w="5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Stufe</w:t>
            </w:r>
          </w:p>
        </w:tc>
        <w:tc>
          <w:tcPr>
            <w:tcW w:type="dxa" w:w="2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Name / Methode</w:t>
            </w:r>
          </w:p>
        </w:tc>
        <w:tc>
          <w:tcPr>
            <w:tcW w:type="dxa" w:w="42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Inhalt</w:t>
            </w:r>
          </w:p>
        </w:tc>
        <w:tc>
          <w:tcPr>
            <w:tcW w:type="dxa" w:w="26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Regel</w:t>
            </w:r>
          </w:p>
        </w:tc>
      </w:tr>
      <w:tr>
        <w:tc>
          <w:tcPr>
            <w:tcW w:type="dxa" w:w="5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bCs/>
                <w:color w:val="1a1a1a"/>
                <w:sz w:val="20"/>
                <w:szCs w:val="20"/>
              </w:rPr>
              <w:t xml:space="preserve">A</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Zulässigkeit (regelbasiert)</w:t>
            </w:r>
          </w:p>
        </w:tc>
        <w:tc>
          <w:tcPr>
            <w:tcW w:type="dxa" w:w="42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Profil-Obergrenzen, Liquiditätsreserve, Restriktionen, Illiquiditätslimite, Konzentrationsgrenzen.</w:t>
            </w:r>
          </w:p>
        </w:tc>
        <w:tc>
          <w:tcPr>
            <w:tcW w:type="dxa" w:w="2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Harter Filter. Kein Scoring. Portfolio fällt raus oder bleibt drin.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Cashflow-Stabilität (regelbasiert)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Können Ausgaben und Entnahmen über den Horizont getragen werden? Funded Ratio = Vermögen / Verpflichtungen &gt;= 1.0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Kein Scoring. Shortfalls bei hochrangigen Zielen nicht akzeptabel.</w:t>
            </w:r>
          </w:p>
        </w:tc>
      </w:tr>
      <w:tr>
        <w:tc>
          <w:tcPr>
            <w:tcW w:type="dxa" w:w="5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bCs/>
                <w:color w:val="1a1a1a"/>
                <w:sz w:val="20"/>
                <w:szCs w:val="20"/>
              </w:rPr>
              <w:t xml:space="preserve">C</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Zielerreichung (scorebasiert)</w:t>
            </w:r>
          </w:p>
        </w:tc>
        <w:tc>
          <w:tcPr>
            <w:tcW w:type="dxa" w:w="42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Score 0–100 je Zieltyp. Renditeziel: 60% Pfaderreichung + 40% normierte Unterdeckung. Cashflow-Ziel: 50% Tragfähigkeit + 30% Deckung + 20% norm. Unterdeckung. Aggregation: Summe(Gewicht x Score) / Summe(Gewichte)</w:t>
            </w:r>
          </w:p>
        </w:tc>
        <w:tc>
          <w:tcPr>
            <w:tcW w:type="dxa" w:w="2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Rang = Gewicht: R1=1.0, R2=0.5, R3=0.25 usw. Formeln V1-Entwurf, Abnahme Fachowner ausstehend.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Chancenoptimierung (scorebasiert)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Nur unter Kandidaten die A/B/C bestanden haben: höheres Endvermögen, höhere Rendite, grösserer Sicherheitsabstand.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Maximierungsziel = Tie-Breaker. Nie auf Kosten von A/B/C.</w:t>
            </w:r>
          </w:p>
        </w:tc>
      </w:tr>
    </w:tbl>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Hierarchie vor Mischmasch: Ein Portfolio mit hohem Upside-Potenzial darf keine Liquiditätslücke wegrechnen. Stufe A und B sind harte Filter ohne Scoring und ohne Ausgleich.</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2.5 Drei Beispielfälle</w:t>
      </w:r>
    </w:p>
    <w:p>
      <w:pPr>
        <w:spacing w:before="220" w:after="80"/>
      </w:pPr>
      <w:r>
        <w:rPr>
          <w:rFonts w:ascii="Arial" w:cs="Arial" w:eastAsia="Arial" w:hAnsi="Arial"/>
          <w:b/>
          <w:bCs/>
          <w:color w:val="2A4A70"/>
          <w:sz w:val="22"/>
          <w:szCs w:val="22"/>
        </w:rPr>
        <w:t xml:space="preserve">Fall 1: Renditeziel 3% p.a., keine Entnahmen</w:t>
      </w:r>
    </w:p>
    <w:p>
      <w:pPr>
        <w:spacing w:before="60" w:after="100"/>
      </w:pPr>
      <w:r>
        <w:rPr>
          <w:rFonts w:ascii="Arial" w:cs="Arial" w:eastAsia="Arial" w:hAnsi="Arial"/>
          <w:color w:val="1a1a1a"/>
          <w:sz w:val="22"/>
          <w:szCs w:val="22"/>
        </w:rPr>
        <w:t xml:space="preserve">Das System sucht das effizienteste Portfolio, das 3% mit guter Robustheit erreicht — ohne unnötig mehr Risiko zu nehmen. Stufe D entscheidet unter gleichwertigen Kandidaten.</w:t>
      </w:r>
    </w:p>
    <w:p>
      <w:pPr>
        <w:spacing w:before="0" w:after="0"/>
      </w:pPr>
      <w:r>
        <w:t xml:space="preserve"/>
      </w:r>
    </w:p>
    <w:p>
      <w:pPr>
        <w:spacing w:before="220" w:after="80"/>
      </w:pPr>
      <w:r>
        <w:rPr>
          <w:rFonts w:ascii="Arial" w:cs="Arial" w:eastAsia="Arial" w:hAnsi="Arial"/>
          <w:b/>
          <w:bCs/>
          <w:color w:val="2A4A70"/>
          <w:sz w:val="22"/>
          <w:szCs w:val="22"/>
        </w:rPr>
        <w:t xml:space="preserve">Fall 2: Renditeziel 3% p.a., laufende Ausgaben</w:t>
      </w:r>
    </w:p>
    <w:p>
      <w:pPr>
        <w:spacing w:before="60" w:after="100"/>
      </w:pPr>
      <w:r>
        <w:rPr>
          <w:rFonts w:ascii="Arial" w:cs="Arial" w:eastAsia="Arial" w:hAnsi="Arial"/>
          <w:color w:val="1a1a1a"/>
          <w:sz w:val="22"/>
          <w:szCs w:val="22"/>
        </w:rPr>
        <w:t xml:space="preserve">3% allein reicht nicht. Der Optimizer prüft zuerst ob Netto-Cashflow-Stabilität gegeben ist (Stufe B), dann ob das Renditeziel gleichzeitig erreichbar ist (Stufe C). Bei Konflikt gewinnt das höher priorisierte Ziel.</w:t>
      </w:r>
    </w:p>
    <w:p>
      <w:pPr>
        <w:spacing w:before="0" w:after="0"/>
      </w:pPr>
      <w:r>
        <w:t xml:space="preserve"/>
      </w:r>
    </w:p>
    <w:p>
      <w:pPr>
        <w:spacing w:before="220" w:after="80"/>
      </w:pPr>
      <w:r>
        <w:rPr>
          <w:rFonts w:ascii="Arial" w:cs="Arial" w:eastAsia="Arial" w:hAnsi="Arial"/>
          <w:b/>
          <w:bCs/>
          <w:color w:val="2A4A70"/>
          <w:sz w:val="22"/>
          <w:szCs w:val="22"/>
        </w:rPr>
        <w:t xml:space="preserve">Fall 3: Laufende Ausgaben übersteigen Einnahmen (negativer Cashflow)</w:t>
      </w:r>
    </w:p>
    <w:p>
      <w:pPr>
        <w:spacing w:before="60" w:after="100"/>
      </w:pPr>
      <w:r>
        <w:rPr>
          <w:rFonts w:ascii="Arial" w:cs="Arial" w:eastAsia="Arial" w:hAnsi="Arial"/>
          <w:color w:val="1a1a1a"/>
          <w:sz w:val="22"/>
          <w:szCs w:val="22"/>
        </w:rPr>
        <w:t xml:space="preserve">Der Verzehr entsteht als Konsequenz: Ausgaben &gt; Einnahmen = Differenz aus Vermögen. Der Optimizer prüft Funded Ratio &gt;= 1.0 (Stufe B), bewertet Tragfähigkeit über den Horizont und wählt das Portfolio, das Shortfalls am längsten vermeidet.</w:t>
      </w:r>
    </w:p>
    <w:p>
      <w:pPr>
        <w:spacing w:before="0" w:after="200"/>
      </w:pPr>
      <w:r>
        <w:t xml:space="preserve"/>
      </w:r>
    </w:p>
    <w:p>
      <w:pPr>
        <w:pStyle w:val="Heading1"/>
        <w:pBdr>
          <w:bottom w:val="single" w:color="C9A84C" w:sz="8" w:space="4"/>
        </w:pBdr>
        <w:spacing w:before="480" w:after="160"/>
      </w:pPr>
      <w:r>
        <w:rPr>
          <w:rFonts w:ascii="Arial" w:cs="Arial" w:eastAsia="Arial" w:hAnsi="Arial"/>
          <w:b/>
          <w:bCs/>
          <w:color w:val="0F1E34"/>
          <w:sz w:val="32"/>
          <w:szCs w:val="32"/>
        </w:rPr>
        <w:t xml:space="preserve">3. Risikoprofilierung</w:t>
      </w:r>
    </w:p>
    <w:p>
      <w:pPr>
        <w:spacing w:before="60" w:after="100"/>
      </w:pPr>
      <w:r>
        <w:rPr>
          <w:rFonts w:ascii="Arial" w:cs="Arial" w:eastAsia="Arial" w:hAnsi="Arial"/>
          <w:color w:val="1a1a1a"/>
          <w:sz w:val="22"/>
          <w:szCs w:val="22"/>
        </w:rPr>
        <w:t xml:space="preserve">Die Risikoprofilierung ist der Prozess der den finalen Risk Score (1–10) für jeden Kunden ermittelt. Sie ist zweistufig: Risikofähigkeit und Risikobereitschaft. Der tiefere Score der beiden Stufen bestimmt das finale Profil.</w:t>
      </w:r>
    </w:p>
    <w:p>
      <w:pPr>
        <w:spacing w:before="0" w:after="100"/>
      </w:pPr>
      <w:r>
        <w:t xml:space="preserve"/>
      </w:r>
    </w:p>
    <w:p>
      <w:pPr>
        <w:pBdr>
          <w:left w:val="single" w:color="3d6491" w:sz="12" w:space="8"/>
        </w:pBdr>
        <w:spacing w:before="80" w:after="80"/>
        <w:ind w:left="400"/>
      </w:pPr>
      <w:r>
        <w:rPr>
          <w:rFonts w:ascii="Arial" w:cs="Arial" w:eastAsia="Arial" w:hAnsi="Arial"/>
          <w:color w:val="1d3558"/>
          <w:sz w:val="20"/>
          <w:szCs w:val="20"/>
        </w:rPr>
        <w:t xml:space="preserve">Grundprinzip: Das schwächste Glied bestimmt das Profil. Kein Ausgleich zwischen Risikofähigkeit und Risikobereitschaft. Risk Score gesamt = MIN(Score Risikofähigkeit inkl. Horizont, Score Risikobereitschaft).</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3.1 Stufe 1 — Risikofähigkeit (Fragen 1–6)</w:t>
      </w:r>
    </w:p>
    <w:p>
      <w:pPr>
        <w:spacing w:before="60" w:after="100"/>
      </w:pPr>
      <w:r>
        <w:rPr>
          <w:rFonts w:ascii="Arial" w:cs="Arial" w:eastAsia="Arial" w:hAnsi="Arial"/>
          <w:color w:val="1a1a1a"/>
          <w:sz w:val="22"/>
          <w:szCs w:val="22"/>
        </w:rPr>
        <w:t xml:space="preserve">Die Risikofähigkeit misst die objektive finanzielle Fähigkeit Verluste zu tragen. 4 Fragen ergeben maximal 32 Punkte.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2000"/>
        <w:gridCol w:w="2000"/>
      </w:tblGrid>
      <w:tr>
        <w:trPr>
          <w:tblHeader/>
        </w:trPr>
        <w:tc>
          <w:tcPr>
            <w:tcW w:type="dxa" w:w="1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Frage</w:t>
            </w:r>
          </w:p>
        </w:tc>
        <w:tc>
          <w:tcPr>
            <w:tcW w:type="dxa" w:w="39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Inhalt</w:t>
            </w:r>
          </w:p>
        </w:tc>
        <w:tc>
          <w:tcPr>
            <w:tcW w:type="dxa" w:w="2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Antwortbereich</w:t>
            </w:r>
          </w:p>
        </w:tc>
        <w:tc>
          <w:tcPr>
            <w:tcW w:type="dxa" w:w="2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Punkte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 — Einkommen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Regelmässiges Bruttoeinkommen pro Monat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Bis 6000 CHF → 0
Bis 9000 → 1
Bis 12000 → 2
Bis 20000 → 3
Über 20000 → 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0–4 Punkte</w:t>
            </w:r>
          </w:p>
        </w:tc>
      </w:tr>
      <w:tr>
        <w:tc>
          <w:tcPr>
            <w:tcW w:type="dxa" w:w="1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 — Herkunft</w:t>
            </w:r>
          </w:p>
        </w:tc>
        <w:tc>
          <w:tcPr>
            <w:tcW w:type="dxa" w:w="39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Herkunft des Einkommens (Mehrfachauswahl)</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Informationsfeld — keine Punkte</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Kein Score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 — Verpflichtungen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Monatliche finanzielle Verpflichtungen (invertiert: höhere Verpflichtungen = weniger Punkte)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Bis 3000 → 4
Bis 5000 → 3
Bis 8000 → 2
Bis 12000 → 1
Über 12000 → 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4–0 Punkte (invertiert)</w:t>
            </w:r>
          </w:p>
        </w:tc>
      </w:tr>
      <w:tr>
        <w:tc>
          <w:tcPr>
            <w:tcW w:type="dxa" w:w="1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4 — Vermögen</w:t>
            </w:r>
          </w:p>
        </w:tc>
        <w:tc>
          <w:tcPr>
            <w:tcW w:type="dxa" w:w="39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Frei verfügbares Vermögen (nicht für Verpflichtungen benötigt)</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Bis 100000 → 0
Bis 250000 → 3
Bis 1Mio → 6
Bis 2Mio → 9
Über 2Mio → 12</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0–12 Punkte (Schritte à 3)</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 — Sparquote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Anteil des Einkommens der gespart werden kann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 → 0
1–10% → 3
10–25% → 6
25–50% → 9
Über 50% → 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0–12 Punkte (Schritte à 3)</w:t>
            </w:r>
          </w:p>
        </w:tc>
      </w:tr>
      <w:tr>
        <w:tc>
          <w:tcPr>
            <w:tcW w:type="dxa" w:w="1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6 — Anlagehorizont</w:t>
            </w:r>
          </w:p>
        </w:tc>
        <w:tc>
          <w:tcPr>
            <w:tcW w:type="dxa" w:w="39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Mindestanlagedauer des investierten Kapitals</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Bis 2 J. / 2–3 J. / 4–5 J. / 6–7 J. / 8–11 J. / Mehr als 12 J.</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Fliesst in Horizont-Matrix ein (→ 3.2)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MAXIMUM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32 Punkte</w:t>
            </w:r>
          </w:p>
        </w:tc>
      </w:tr>
    </w:tbl>
    <w:p>
      <w:pPr>
        <w:spacing w:before="0" w:after="100"/>
      </w:pPr>
      <w:r>
        <w:t xml:space="preserve"/>
      </w:r>
    </w:p>
    <w:p>
      <w:pPr>
        <w:pStyle w:val="Heading2"/>
        <w:spacing w:before="320" w:after="120"/>
      </w:pPr>
      <w:r>
        <w:rPr>
          <w:rFonts w:ascii="Arial" w:cs="Arial" w:eastAsia="Arial" w:hAnsi="Arial"/>
          <w:b/>
          <w:bCs/>
          <w:color w:val="0F1E34"/>
          <w:sz w:val="26"/>
          <w:szCs w:val="26"/>
        </w:rPr>
        <w:t xml:space="preserve">3.2 Auswertung Risikofähigkeit → Profil × Horizont → Risk Score</w:t>
      </w:r>
    </w:p>
    <w:p>
      <w:pPr>
        <w:spacing w:before="60" w:after="100"/>
      </w:pPr>
      <w:r>
        <w:rPr>
          <w:rFonts w:ascii="Arial" w:cs="Arial" w:eastAsia="Arial" w:hAnsi="Arial"/>
          <w:color w:val="1a1a1a"/>
          <w:sz w:val="22"/>
          <w:szCs w:val="22"/>
        </w:rPr>
        <w:t xml:space="preserve">Aus den Punkten 1–5 ergibt sich ein Risikofähigkeits-Profil. Dieses wird mit dem Anlagehorizont (Frage 6) kombiniert und ergibt den Risk Score Risikofähigkeit (0–10):</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800"/>
        <w:gridCol w:w="800"/>
        <w:gridCol w:w="900"/>
        <w:gridCol w:w="900"/>
        <w:gridCol w:w="900"/>
        <w:gridCol w:w="1000"/>
        <w:gridCol w:w="1300"/>
      </w:tblGrid>
      <w:tr>
        <w:trPr>
          <w:tblHeader/>
        </w:trPr>
        <w:tc>
          <w:tcPr>
            <w:tcW w:type="dxa" w:w="17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Profil (Punkte)</w:t>
            </w:r>
          </w:p>
        </w:tc>
        <w:tc>
          <w:tcPr>
            <w:tcW w:type="dxa" w:w="8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&lt;2 J.</w:t>
            </w:r>
          </w:p>
        </w:tc>
        <w:tc>
          <w:tcPr>
            <w:tcW w:type="dxa" w:w="8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2–3 J.</w:t>
            </w:r>
          </w:p>
        </w:tc>
        <w:tc>
          <w:tcPr>
            <w:tcW w:type="dxa" w:w="9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4–5 J.</w:t>
            </w:r>
          </w:p>
        </w:tc>
        <w:tc>
          <w:tcPr>
            <w:tcW w:type="dxa" w:w="9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6–7 J.</w:t>
            </w:r>
          </w:p>
        </w:tc>
        <w:tc>
          <w:tcPr>
            <w:tcW w:type="dxa" w:w="9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8–11 J.</w:t>
            </w:r>
          </w:p>
        </w:tc>
        <w:tc>
          <w:tcPr>
            <w:tcW w:type="dxa" w:w="1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&gt;12 J.</w:t>
            </w:r>
          </w:p>
        </w:tc>
        <w:tc>
          <w:tcPr>
            <w:tcW w:type="dxa" w:w="13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Strategien</w:t>
            </w:r>
          </w:p>
        </w:tc>
      </w:tr>
      <w:tr>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Risikoarm (0–2)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Short-term Corp.</w:t>
            </w:r>
          </w:p>
        </w:tc>
      </w:tr>
      <w:tr>
        <w:tc>
          <w:tcPr>
            <w:tcW w:type="dxa" w:w="17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Sicherheitsorientiert (3–5)</w:t>
            </w:r>
          </w:p>
        </w:tc>
        <w:tc>
          <w:tcPr>
            <w:tcW w:type="dxa" w:w="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c>
          <w:tcPr>
            <w:tcW w:type="dxa" w:w="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4</w:t>
            </w:r>
          </w:p>
        </w:tc>
        <w:tc>
          <w:tcPr>
            <w:tcW w:type="dxa" w:w="9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4.5</w:t>
            </w:r>
          </w:p>
        </w:tc>
        <w:tc>
          <w:tcPr>
            <w:tcW w:type="dxa" w:w="9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c>
          <w:tcPr>
            <w:tcW w:type="dxa" w:w="13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Income, BVG 15/25</w:t>
            </w:r>
          </w:p>
        </w:tc>
      </w:tr>
      <w:tr>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Ausgewogen (6–9)</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4.5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Balanced, BVG 35/45</w:t>
            </w:r>
          </w:p>
        </w:tc>
      </w:tr>
      <w:tr>
        <w:tc>
          <w:tcPr>
            <w:tcW w:type="dxa" w:w="17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Wachstumsorientiert (10–13)</w:t>
            </w:r>
          </w:p>
        </w:tc>
        <w:tc>
          <w:tcPr>
            <w:tcW w:type="dxa" w:w="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c>
          <w:tcPr>
            <w:tcW w:type="dxa" w:w="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w:t>
            </w:r>
          </w:p>
        </w:tc>
        <w:tc>
          <w:tcPr>
            <w:tcW w:type="dxa" w:w="9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c>
          <w:tcPr>
            <w:tcW w:type="dxa" w:w="9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6</w:t>
            </w:r>
          </w:p>
        </w:tc>
        <w:tc>
          <w:tcPr>
            <w:tcW w:type="dxa" w:w="9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6.5</w:t>
            </w:r>
          </w:p>
        </w:tc>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7.5</w:t>
            </w:r>
          </w:p>
        </w:tc>
        <w:tc>
          <w:tcPr>
            <w:tcW w:type="dxa" w:w="13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Growth, BVG 75</w:t>
            </w:r>
          </w:p>
        </w:tc>
      </w:tr>
      <w:tr>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Dynamisch (14–32)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Equity, BVG 75/100</w:t>
            </w:r>
          </w:p>
        </w:tc>
      </w:tr>
    </w:tbl>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Anlagehorizont &lt; 2 Jahre ergibt immer Score 0 — unabhängig vom Risikofähigkeits-Profil. Dynamisch + Horizont &gt;12 Jahre = Score 10 (Maximum).</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3.3 Stufe 2 — Risikobereitschaft (Fragen 7–9)</w:t>
      </w:r>
    </w:p>
    <w:p>
      <w:pPr>
        <w:spacing w:before="60" w:after="100"/>
      </w:pPr>
      <w:r>
        <w:rPr>
          <w:rFonts w:ascii="Arial" w:cs="Arial" w:eastAsia="Arial" w:hAnsi="Arial"/>
          <w:color w:val="1a1a1a"/>
          <w:sz w:val="22"/>
          <w:szCs w:val="22"/>
        </w:rPr>
        <w:t xml:space="preserve">Die Risikobereitschaft misst die subjektive psychologische Bereitschaft Risiken einzugehen. 3 Fragen mit je 1–4 Punkten, Maximum 12 Punkte.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rPr>
          <w:tblHeader/>
        </w:trPr>
        <w:tc>
          <w:tcPr>
            <w:tcW w:type="dxa" w:w="16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Frage</w:t>
            </w:r>
          </w:p>
        </w:tc>
        <w:tc>
          <w:tcPr>
            <w:tcW w:type="dxa" w:w="41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Antwortoptionen (1–4 Punkte)</w:t>
            </w:r>
          </w:p>
        </w:tc>
        <w:tc>
          <w:tcPr>
            <w:tcW w:type="dxa" w:w="36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Bewertung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7 — Anlageziel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 Kapitalerhalt / 2: Stetiger Zuwachs / 3: Erhöhter Zuwachs / 4: Maximaler Zuwachs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Je offensiver die Antwort, desto mehr Punkte</w:t>
            </w:r>
          </w:p>
        </w:tc>
      </w:tr>
      <w:tr>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8 — Risikopräferenz</w:t>
            </w:r>
          </w:p>
        </w:tc>
        <w:tc>
          <w:tcPr>
            <w:tcW w:type="dxa" w:w="41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 Kapitalerhalt (-4%/+6%) / 2: Moderat (-6%/+10%) / 3: Erhöht (-10%/+16%) / 4: Maximal (-16%/+24%)</w:t>
            </w:r>
          </w:p>
        </w:tc>
        <w:tc>
          <w:tcPr>
            <w:tcW w:type="dxa" w:w="3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Wertschwankungsbandbreiten als Orientierung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9 — Risikoverhalten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 Sofort verkaufen / 2: Beunruhigt, kaum handeln / 3: Halten / 4: Halten und eventuell nachkaufen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Reaktion auf -20% Verlust</w:t>
            </w:r>
          </w:p>
        </w:tc>
      </w:tr>
      <w:tr>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MAXIMUM</w:t>
            </w:r>
          </w:p>
        </w:tc>
        <w:tc>
          <w:tcPr>
            <w:tcW w:type="dxa" w:w="41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w:t>
            </w:r>
          </w:p>
        </w:tc>
        <w:tc>
          <w:tcPr>
            <w:tcW w:type="dxa" w:w="3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12 Punkte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2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Punktebereich</w:t>
            </w:r>
          </w:p>
        </w:tc>
        <w:tc>
          <w:tcPr>
            <w:tcW w:type="dxa" w:w="248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Risk Score Risikobereitschaft</w:t>
            </w:r>
          </w:p>
        </w:tc>
        <w:tc>
          <w:tcPr>
            <w:tcW w:type="dxa" w:w="248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Bedingung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Sicherheitsorientiert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3–4 Punkte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Min. 2 von 3 Antworten im Profil</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Ausgewogen</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5–7 Punkte</w:t>
            </w:r>
          </w:p>
        </w:tc>
        <w:tc>
          <w:tcPr>
            <w:tcW w:type="dxa" w:w="24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c>
          <w:tcPr>
            <w:tcW w:type="dxa" w:w="24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Min. 2 von 3 Antworten im Profil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Wachstumsorientiert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8–10 Punkte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7</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Min. 2 von 3 Antworten im Profil</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Dynamisch</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11–12 Punkte</w:t>
            </w:r>
          </w:p>
        </w:tc>
        <w:tc>
          <w:tcPr>
            <w:tcW w:type="dxa" w:w="24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24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Min. 2 von 3 Antworten im Profil</w:t>
            </w:r>
          </w:p>
        </w:tc>
      </w:tr>
    </w:tbl>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Formel: Score Risikobereitschaft = 10 × (Summe Punkte / 12), kategorisiert auf diskrete Werte {3, 5, 7, 10}. Die 2/3-Bedingung ist bei korrekter Punktesumme in der Regel automatisch erfüllt — sie dient als Plausibilitätsprüfung.</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3.4 Gesamtformel und Berater-Override</w:t>
      </w:r>
    </w:p>
    <w:p>
      <w:pPr>
        <w:pBdr>
          <w:left w:val="single" w:color="3d6491" w:sz="12" w:space="8"/>
        </w:pBdr>
        <w:spacing w:before="80" w:after="80"/>
        <w:ind w:left="400"/>
      </w:pPr>
      <w:r>
        <w:rPr>
          <w:rFonts w:ascii="Arial" w:cs="Arial" w:eastAsia="Arial" w:hAnsi="Arial"/>
          <w:color w:val="1d3558"/>
          <w:sz w:val="20"/>
          <w:szCs w:val="20"/>
        </w:rPr>
        <w:t xml:space="preserve">Risk Score gesamt = MIN(Score Risikofähigkeit inkl. Horizont, Score Risikobereitschaft)
Beispiel A: Risikofähigkeit = 7, Risikobereitschaft = 5 → finaler Score = 5
Beispiel B: Risikofähigkeit = 3, Risikobereitschaft = 10 → finaler Score = 3</w:t>
      </w:r>
    </w:p>
    <w:p>
      <w:pPr>
        <w:spacing w:before="0" w:after="100"/>
      </w:pPr>
      <w:r>
        <w:t xml:space="preserve"/>
      </w:r>
    </w:p>
    <w:p>
      <w:pPr>
        <w:pStyle w:val="ListParagraph"/>
        <w:numPr>
          <w:ilvl w:val="0"/>
          <w:numId w:val="2"/>
        </w:numPr>
        <w:spacing w:before="40" w:after="40"/>
      </w:pPr>
      <w:r>
        <w:rPr>
          <w:rFonts w:ascii="Arial" w:cs="Arial" w:eastAsia="Arial" w:hAnsi="Arial"/>
          <w:color w:val="1a1a1a"/>
          <w:sz w:val="22"/>
          <w:szCs w:val="22"/>
        </w:rPr>
        <w:t xml:space="preserve">Der Berater kann den Score manuell überschreiben — nach oben oder nach unten.</w:t>
      </w:r>
    </w:p>
    <w:p>
      <w:pPr>
        <w:pStyle w:val="ListParagraph"/>
        <w:numPr>
          <w:ilvl w:val="0"/>
          <w:numId w:val="2"/>
        </w:numPr>
        <w:spacing w:before="40" w:after="40"/>
      </w:pPr>
      <w:r>
        <w:rPr>
          <w:rFonts w:ascii="Arial" w:cs="Arial" w:eastAsia="Arial" w:hAnsi="Arial"/>
          <w:color w:val="1a1a1a"/>
          <w:sz w:val="22"/>
          <w:szCs w:val="22"/>
        </w:rPr>
        <w:t xml:space="preserve">Keine systeminterne Begründungspflicht. Die Zustimmung wird vertraglich geregelt.</w:t>
      </w:r>
    </w:p>
    <w:p>
      <w:pPr>
        <w:pStyle w:val="ListParagraph"/>
        <w:numPr>
          <w:ilvl w:val="0"/>
          <w:numId w:val="2"/>
        </w:numPr>
        <w:spacing w:before="40" w:after="40"/>
      </w:pPr>
      <w:r>
        <w:rPr>
          <w:rFonts w:ascii="Arial" w:cs="Arial" w:eastAsia="Arial" w:hAnsi="Arial"/>
          <w:color w:val="1a1a1a"/>
          <w:sz w:val="22"/>
          <w:szCs w:val="22"/>
        </w:rPr>
        <w:t xml:space="preserve">Das System protokolliert: wer, wann, von Score X auf Score Y geändert.</w:t>
      </w:r>
    </w:p>
    <w:p>
      <w:pPr>
        <w:pStyle w:val="ListParagraph"/>
        <w:numPr>
          <w:ilvl w:val="0"/>
          <w:numId w:val="2"/>
        </w:numPr>
        <w:spacing w:before="40" w:after="40"/>
      </w:pPr>
      <w:r>
        <w:rPr>
          <w:rFonts w:ascii="Arial" w:cs="Arial" w:eastAsia="Arial" w:hAnsi="Arial"/>
          <w:color w:val="1a1a1a"/>
          <w:sz w:val="22"/>
          <w:szCs w:val="22"/>
        </w:rPr>
        <w:t xml:space="preserve">Der Override wird im Kundenbericht ausgewiesen.</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3.5 Risk Score → Risky Fraction → Aktienquote</w:t>
      </w:r>
    </w:p>
    <w:p>
      <w:pPr>
        <w:spacing w:before="60" w:after="100"/>
      </w:pPr>
      <w:r>
        <w:rPr>
          <w:rFonts w:ascii="Arial" w:cs="Arial" w:eastAsia="Arial" w:hAnsi="Arial"/>
          <w:color w:val="1a1a1a"/>
          <w:sz w:val="22"/>
          <w:szCs w:val="22"/>
        </w:rPr>
        <w:t xml:space="preserve">Der Risk Score definiert die maximal zulässige risikogewichtete Portfolioallokation (Risky Fraction). Jede Anlageklasse hat eine definierte Risky Fraction (aus SLAM-Logik). Das Portfolio-Gesamtrisiko = Summe aller Positionen gewichtet mit ihrer Risky Fraction.</w:t>
      </w:r>
    </w:p>
    <w:p>
      <w:pPr>
        <w:spacing w:before="0" w:after="0"/>
      </w:pPr>
      <w:r>
        <w:t xml:space="preserve"/>
      </w:r>
    </w:p>
    <w:p>
      <w:pPr>
        <w:pBdr>
          <w:left w:val="single" w:color="3d6491" w:sz="12" w:space="8"/>
        </w:pBdr>
        <w:spacing w:before="80" w:after="80"/>
        <w:ind w:left="400"/>
      </w:pPr>
      <w:r>
        <w:rPr>
          <w:rFonts w:ascii="Arial" w:cs="Arial" w:eastAsia="Arial" w:hAnsi="Arial"/>
          <w:color w:val="1d3558"/>
          <w:sz w:val="20"/>
          <w:szCs w:val="20"/>
        </w:rPr>
        <w:t xml:space="preserve">Risk Score X/10 = max. X × 10% des Portfolios darf risikogewichtet sein (Risky Fraction Total ≤ Score × 10%)
Die Aktienquote in der House Matrix ist die Konsequenz dieser Constraint — nicht umgekehrt.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560"/>
        <w:gridCol w:w="1600"/>
        <w:gridCol w:w="2000"/>
      </w:tblGrid>
      <w:tr>
        <w:trPr>
          <w:tblHeader/>
        </w:trPr>
        <w:tc>
          <w:tcPr>
            <w:tcW w:type="dxa" w:w="1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16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Max Risky Fraction</w:t>
            </w:r>
          </w:p>
        </w:tc>
        <w:tc>
          <w:tcPr>
            <w:tcW w:type="dxa" w:w="15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Aktien Ziel</w:t>
            </w:r>
          </w:p>
        </w:tc>
        <w:tc>
          <w:tcPr>
            <w:tcW w:type="dxa" w:w="16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Aktien Max</w:t>
            </w:r>
          </w:p>
        </w:tc>
        <w:tc>
          <w:tcPr>
            <w:tcW w:type="dxa" w:w="2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Herleitung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Kapitalschutz</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10–20%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Geometrisch konsistent mit SLAM</w:t>
            </w:r>
          </w:p>
        </w:tc>
      </w:tr>
      <w:tr>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3–4</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Defensiv</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30–40%</w:t>
            </w:r>
          </w:p>
        </w:tc>
        <w:tc>
          <w:tcPr>
            <w:tcW w:type="dxa" w:w="15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30%</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Geometrisch konsistent mit SLAM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Ausgewogen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50–60%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48%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Score 6 × 10% = 60% → max ~55% Aktien exakt</w:t>
            </w:r>
          </w:p>
        </w:tc>
      </w:tr>
      <w:tr>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7–8</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Wachstum</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70–80%</w:t>
            </w:r>
          </w:p>
        </w:tc>
        <w:tc>
          <w:tcPr>
            <w:tcW w:type="dxa" w:w="15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68%</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75%</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Score 7 × 10% = 70% → max ~74% Aktien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Dynamisch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90%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85%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Alternative Universe Risky Fractions</w:t>
            </w:r>
          </w:p>
        </w:tc>
      </w:tr>
      <w:tr>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Aktien</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100%</w:t>
            </w:r>
          </w:p>
        </w:tc>
        <w:tc>
          <w:tcPr>
            <w:tcW w:type="dxa" w:w="15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90%</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95%</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Volle Risikokapazität ausgeschöpft</w:t>
            </w:r>
          </w:p>
        </w:tc>
      </w:tr>
    </w:tbl>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Beide Constraints gelten gleichzeitig: (1) Risky Fraction Total ≤ Risk Score × 10% und (2) Aktienquote innerhalb House Matrix Bänder. Der bindende Constraint ist der engere von beiden. Die Risky Fractions pro Anlageklasse können jährlich angepasst werden — die Formel bleibt stabil.</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3.6 Schweizer Inflationspfad (Kapitalmarktannahmen)</w:t>
      </w:r>
    </w:p>
    <w:p>
      <w:pPr>
        <w:spacing w:before="60" w:after="100"/>
      </w:pPr>
      <w:r>
        <w:rPr>
          <w:rFonts w:ascii="Arial" w:cs="Arial" w:eastAsia="Arial" w:hAnsi="Arial"/>
          <w:color w:val="1a1a1a"/>
          <w:sz w:val="22"/>
          <w:szCs w:val="22"/>
        </w:rPr>
        <w:t xml:space="preserve">Der folgende Inflationspfad wird für Simulationen und Zielpfad-Berechnungen verwendet. Quelle: Portfolio Management, Stand März 2026. Langfristige Annahmen — jährliche Überprüfung.</w:t>
      </w:r>
    </w:p>
    <w:p>
      <w:pPr>
        <w:spacing w:before="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rPr>
          <w:tblHeader/>
        </w:trPr>
        <w:tc>
          <w:tcPr>
            <w:tcW w:type="dxa" w:w="2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Jahr</w:t>
            </w:r>
          </w:p>
        </w:tc>
        <w:tc>
          <w:tcPr>
            <w:tcW w:type="dxa" w:w="3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CH Inflation (erwartet)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2026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0.5%</w:t>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2027</w:t>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2028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0.6%</w:t>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2029</w:t>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2030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0.6%</w:t>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2031–2035</w:t>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0.7% p.a.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2036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0.7%</w:t>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2037</w:t>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2038</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0.9%</w:t>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2039</w:t>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2040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1.1%</w:t>
            </w:r>
          </w:p>
        </w:tc>
      </w:tr>
    </w:tbl>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Methodologie: Jahresrenditen folgen einer Normalverteilung zentriert um die erwartete Rendite. Die Volatilität ist die Standardabweichung — 68% der realisierten Renditen liegen innerhalb Mittelwert ± Volatilität. Die Volatilität wird konstant angenommen und historisch geschätzt. In CHF sind Zinsen tief aufgrund tiefer Inflation; USD wertet langfristig mit dem Zinsdifferenzial gegenüber CHF ab.</w:t>
      </w:r>
    </w:p>
    <w:p>
      <w:pPr>
        <w:spacing w:before="0" w:after="200"/>
      </w:pPr>
      <w:r>
        <w:t xml:space="preserve"/>
      </w:r>
    </w:p>
    <w:p>
      <w:pPr>
        <w:pStyle w:val="Heading1"/>
        <w:pBdr>
          <w:bottom w:val="single" w:color="C9A84C" w:sz="8" w:space="4"/>
        </w:pBdr>
        <w:spacing w:before="480" w:after="160"/>
      </w:pPr>
      <w:r>
        <w:rPr>
          <w:rFonts w:ascii="Arial" w:cs="Arial" w:eastAsia="Arial" w:hAnsi="Arial"/>
          <w:b/>
          <w:bCs/>
          <w:color w:val="0F1E34"/>
          <w:sz w:val="32"/>
          <w:szCs w:val="32"/>
        </w:rPr>
        <w:t xml:space="preserve">4. Risikoprofile — House Matrix</w:t>
      </w:r>
    </w:p>
    <w:p>
      <w:pPr>
        <w:spacing w:before="60" w:after="100"/>
      </w:pPr>
      <w:r>
        <w:rPr>
          <w:rFonts w:ascii="Arial" w:cs="Arial" w:eastAsia="Arial" w:hAnsi="Arial"/>
          <w:color w:val="1a1a1a"/>
          <w:sz w:val="22"/>
          <w:szCs w:val="22"/>
        </w:rPr>
        <w:t xml:space="preserve">Das System verwendet 10 Risikoprofile mit Score 1–10. Jedes Profil definiert einen Namen, einen Risikotyp und eine Soll-Allokations-Matrix (House Matrix).</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3.1 Profil-Übersicht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2300"/>
        <w:gridCol w:w="2960"/>
      </w:tblGrid>
      <w:tr>
        <w:trPr>
          <w:tblHeader/>
        </w:trPr>
        <w:tc>
          <w:tcPr>
            <w:tcW w:type="dxa" w:w="9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Risikotyp</w:t>
            </w:r>
          </w:p>
        </w:tc>
        <w:tc>
          <w:tcPr>
            <w:tcW w:type="dxa" w:w="23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Primäres Ziel</w:t>
            </w:r>
          </w:p>
        </w:tc>
        <w:tc>
          <w:tcPr>
            <w:tcW w:type="dxa" w:w="29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Typischer Zeithorizont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Kapitalschutz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Sehr defensiv</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Kapitalerhalt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&lt; 3 Jahre</w:t>
            </w:r>
          </w:p>
        </w:tc>
      </w:tr>
      <w:tr>
        <w:tc>
          <w:tcPr>
            <w:tcW w:type="dxa" w:w="9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3–4</w:t>
            </w:r>
          </w:p>
        </w:tc>
        <w:tc>
          <w:tcPr>
            <w:tcW w:type="dxa" w:w="1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Defensiv</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Defensiv / Ertrag</w:t>
            </w:r>
          </w:p>
        </w:tc>
        <w:tc>
          <w:tcPr>
            <w:tcW w:type="dxa" w:w="23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Stabiler Ertrag</w:t>
            </w:r>
          </w:p>
        </w:tc>
        <w:tc>
          <w:tcPr>
            <w:tcW w:type="dxa" w:w="29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3–5 Jahre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Ausgewogen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Ausgewogen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Wachstum &amp; Stabilität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5–8 Jahre</w:t>
            </w:r>
          </w:p>
        </w:tc>
      </w:tr>
      <w:tr>
        <w:tc>
          <w:tcPr>
            <w:tcW w:type="dxa" w:w="9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7–8</w:t>
            </w:r>
          </w:p>
        </w:tc>
        <w:tc>
          <w:tcPr>
            <w:tcW w:type="dxa" w:w="1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Wachstum</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Wachstum</w:t>
            </w:r>
          </w:p>
        </w:tc>
        <w:tc>
          <w:tcPr>
            <w:tcW w:type="dxa" w:w="23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Kapitalwachstum</w:t>
            </w:r>
          </w:p>
        </w:tc>
        <w:tc>
          <w:tcPr>
            <w:tcW w:type="dxa" w:w="29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8–12 Jahre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Dynamisch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Aggressiv</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Maximales Wachstum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&gt; 12 Jahre</w:t>
            </w:r>
          </w:p>
        </w:tc>
      </w:tr>
      <w:tr>
        <w:tc>
          <w:tcPr>
            <w:tcW w:type="dxa" w:w="9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Aktien</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Max. offensiv</w:t>
            </w:r>
          </w:p>
        </w:tc>
        <w:tc>
          <w:tcPr>
            <w:tcW w:type="dxa" w:w="23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Maximaler Kapitalgewinn</w:t>
            </w:r>
          </w:p>
        </w:tc>
        <w:tc>
          <w:tcPr>
            <w:tcW w:type="dxa" w:w="29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&gt; 15 Jahre</w:t>
            </w:r>
          </w:p>
        </w:tc>
      </w:tr>
    </w:tbl>
    <w:p>
      <w:pPr>
        <w:spacing w:before="0" w:after="100"/>
      </w:pPr>
      <w:r>
        <w:t xml:space="preserve"/>
      </w:r>
    </w:p>
    <w:p>
      <w:pPr>
        <w:pStyle w:val="Heading2"/>
        <w:spacing w:before="320" w:after="120"/>
      </w:pPr>
      <w:r>
        <w:rPr>
          <w:rFonts w:ascii="Arial" w:cs="Arial" w:eastAsia="Arial" w:hAnsi="Arial"/>
          <w:b/>
          <w:bCs/>
          <w:color w:val="0F1E34"/>
          <w:sz w:val="26"/>
          <w:szCs w:val="26"/>
        </w:rPr>
        <w:t xml:space="preserve">3.2 Soll-Allokations-Matrix (House Matrix)</w:t>
      </w:r>
    </w:p>
    <w:p>
      <w:pPr>
        <w:spacing w:before="60" w:after="100"/>
      </w:pPr>
      <w:r>
        <w:rPr>
          <w:rFonts w:ascii="Arial" w:cs="Arial" w:eastAsia="Arial" w:hAnsi="Arial"/>
          <w:color w:val="1a1a1a"/>
          <w:sz w:val="22"/>
          <w:szCs w:val="22"/>
        </w:rPr>
        <w:t xml:space="preserve">Format: Min–Max % / Zielwert %. Orientiert an Schweizer Marktstandards. FINMA/FIDLEG schreibt keine fixen Bänder vor — dies ist die interne House Matrix.</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500"/>
        <w:gridCol w:w="1500"/>
        <w:gridCol w:w="1200"/>
        <w:gridCol w:w="1100"/>
        <w:gridCol w:w="1000"/>
        <w:gridCol w:w="660"/>
      </w:tblGrid>
      <w:tr>
        <w:trPr>
          <w:tblHeader/>
        </w:trPr>
        <w:tc>
          <w:tcPr>
            <w:tcW w:type="dxa" w:w="1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1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Liquidität
Min–Max/Ziel</w:t>
            </w:r>
          </w:p>
        </w:tc>
        <w:tc>
          <w:tcPr>
            <w:tcW w:type="dxa" w:w="15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Obligationen
Min–Max/Ziel</w:t>
            </w:r>
          </w:p>
        </w:tc>
        <w:tc>
          <w:tcPr>
            <w:tcW w:type="dxa" w:w="12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Aktien
Min–Max/Ziel</w:t>
            </w:r>
          </w:p>
        </w:tc>
        <w:tc>
          <w:tcPr>
            <w:tcW w:type="dxa" w:w="11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Immobilien
Min–Max/Ziel</w:t>
            </w:r>
          </w:p>
        </w:tc>
        <w:tc>
          <w:tcPr>
            <w:tcW w:type="dxa" w:w="1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Alternative
Min–Max/Ziel</w:t>
            </w:r>
          </w:p>
        </w:tc>
        <w:tc>
          <w:tcPr>
            <w:tcW w:type="dxa" w:w="6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Aktien-Min.</w:t>
            </w:r>
          </w:p>
        </w:tc>
      </w:tr>
      <w:tr>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1–2</w:t>
            </w:r>
          </w:p>
        </w:tc>
        <w:tc>
          <w:tcPr>
            <w:tcW w:type="dxa" w:w="1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Kapitalschutz</w:t>
            </w:r>
          </w:p>
        </w:tc>
        <w:tc>
          <w:tcPr>
            <w:tcW w:type="dxa" w:w="15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0–8% / 3%</w:t>
            </w:r>
          </w:p>
        </w:tc>
        <w:tc>
          <w:tcPr>
            <w:tcW w:type="dxa" w:w="15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65–85% / 75%</w:t>
            </w:r>
          </w:p>
        </w:tc>
        <w:tc>
          <w:tcPr>
            <w:tcW w:type="dxa" w:w="1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5–20% / 12%</w:t>
            </w:r>
          </w:p>
        </w:tc>
        <w:tc>
          <w:tcPr>
            <w:tcW w:type="dxa" w:w="11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0–10% / 5%</w:t>
            </w:r>
          </w:p>
        </w:tc>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0–5% / 5%</w:t>
            </w:r>
          </w:p>
        </w:tc>
        <w:tc>
          <w:tcPr>
            <w:tcW w:type="dxa" w:w="6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Defensiv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0–5% / 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50–70% / 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15–30% / 25%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5–15% / 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0–8% / 3%</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t>
            </w:r>
          </w:p>
        </w:tc>
      </w:tr>
      <w:tr>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5–6</w:t>
            </w:r>
          </w:p>
        </w:tc>
        <w:tc>
          <w:tcPr>
            <w:tcW w:type="dxa" w:w="1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Ausgewogen</w:t>
            </w:r>
          </w:p>
        </w:tc>
        <w:tc>
          <w:tcPr>
            <w:tcW w:type="dxa" w:w="15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0–3% / 2%</w:t>
            </w:r>
          </w:p>
        </w:tc>
        <w:tc>
          <w:tcPr>
            <w:tcW w:type="dxa" w:w="15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25–45% / 35%</w:t>
            </w:r>
          </w:p>
        </w:tc>
        <w:tc>
          <w:tcPr>
            <w:tcW w:type="dxa" w:w="1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40–55% / 48%</w:t>
            </w:r>
          </w:p>
        </w:tc>
        <w:tc>
          <w:tcPr>
            <w:tcW w:type="dxa" w:w="11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5–15% / 10%</w:t>
            </w:r>
          </w:p>
        </w:tc>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3–8% / 5%</w:t>
            </w:r>
          </w:p>
        </w:tc>
        <w:tc>
          <w:tcPr>
            <w:tcW w:type="dxa" w:w="6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7–8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Wachstum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0–2% / 1.5%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10–25% / 16%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60–75% / 68%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5–12% / 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3–10% / 6%</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Min. 60%</w:t>
            </w:r>
          </w:p>
        </w:tc>
      </w:tr>
      <w:tr>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9</w:t>
            </w:r>
          </w:p>
        </w:tc>
        <w:tc>
          <w:tcPr>
            <w:tcW w:type="dxa" w:w="1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Dynamisch</w:t>
            </w:r>
          </w:p>
        </w:tc>
        <w:tc>
          <w:tcPr>
            <w:tcW w:type="dxa" w:w="15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0–2% / 1%</w:t>
            </w:r>
          </w:p>
        </w:tc>
        <w:tc>
          <w:tcPr>
            <w:tcW w:type="dxa" w:w="15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5–15% / 8%</w:t>
            </w:r>
          </w:p>
        </w:tc>
        <w:tc>
          <w:tcPr>
            <w:tcW w:type="dxa" w:w="1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75–85% / 80%</w:t>
            </w:r>
          </w:p>
        </w:tc>
        <w:tc>
          <w:tcPr>
            <w:tcW w:type="dxa" w:w="11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3–10% / 7%</w:t>
            </w:r>
          </w:p>
        </w:tc>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2–6% / 4%</w:t>
            </w:r>
          </w:p>
        </w:tc>
        <w:tc>
          <w:tcPr>
            <w:tcW w:type="dxa" w:w="6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Min. 75%</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Aktien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0–2% / 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0–5% / 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85–95% / 90%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2–8% / 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0–5% / 2%</w:t>
            </w:r>
          </w:p>
        </w:tc>
        <w:tc>
          <w:tcPr>
            <w:tcW w:type="dxa" w:w="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Min. 85%</w:t>
            </w:r>
          </w:p>
        </w:tc>
      </w:tr>
    </w:tbl>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Kernregel: Das Risikoprofil steuert primär die Aktienquote. Ab Profil 7 gilt zusätzlich eine Mindestaktienquote, damit ein offensives Profil nicht faktisch zu defensiv umgesetzt wird.</w:t>
      </w:r>
    </w:p>
    <w:p>
      <w:pPr>
        <w:pBdr>
          <w:left w:val="single" w:color="C9A84C" w:sz="12" w:space="8"/>
        </w:pBdr>
        <w:spacing w:before="80" w:after="80"/>
        <w:ind w:left="400"/>
      </w:pPr>
      <w:r>
        <w:rPr>
          <w:rFonts w:ascii="Arial" w:cs="Arial" w:eastAsia="Arial" w:hAnsi="Arial"/>
          <w:i/>
          <w:iCs/>
          <w:color w:val="7a5200"/>
          <w:sz w:val="20"/>
          <w:szCs w:val="20"/>
        </w:rPr>
        <w:t xml:space="preserve">TBI-Anpassung: Die Goal Engine wählt die konkrete Allokation innerhalb der Bänder. Bei Maximierungszielen geht das Portfolio näher an die offensive Grenze; bei Cashflow-Zielen mit negativem Netto-Cashflow kann es im gleichen Profil bewusst defensiver bleiben.</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3.3 SLAM Building Blocks — Risikoallokation</w:t>
      </w:r>
    </w:p>
    <w:p>
      <w:pPr>
        <w:spacing w:before="60" w:after="100"/>
      </w:pPr>
      <w:r>
        <w:rPr>
          <w:rFonts w:ascii="Arial" w:cs="Arial" w:eastAsia="Arial" w:hAnsi="Arial"/>
          <w:color w:val="1a1a1a"/>
          <w:sz w:val="22"/>
          <w:szCs w:val="22"/>
        </w:rPr>
        <w:t xml:space="preserve">Jede Subanlageklasse hat eine definierte Risky Fraction: den Anteil der als risikoreich gilt und gegen das Risikobudget des Profils angerechnet wird. Quelle: 3rd-eyes/Swiss Life SLAM-Logik, Stand April 2024.</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1360"/>
        <w:gridCol w:w="1200"/>
      </w:tblGrid>
      <w:tr>
        <w:trPr>
          <w:tblHeader/>
        </w:trPr>
        <w:tc>
          <w:tcPr>
            <w:tcW w:type="dxa" w:w="2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Anlageklasse</w:t>
            </w:r>
          </w:p>
        </w:tc>
        <w:tc>
          <w:tcPr>
            <w:tcW w:type="dxa" w:w="3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Subanlageklasse</w:t>
            </w:r>
          </w:p>
        </w:tc>
        <w:tc>
          <w:tcPr>
            <w:tcW w:type="dxa" w:w="18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Advisory</w:t>
            </w:r>
          </w:p>
        </w:tc>
        <w:tc>
          <w:tcPr>
            <w:tcW w:type="dxa" w:w="13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Risky Fraction</w:t>
            </w:r>
          </w:p>
        </w:tc>
        <w:tc>
          <w:tcPr>
            <w:tcW w:type="dxa" w:w="12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Ø Risk</w:t>
            </w:r>
          </w:p>
        </w:tc>
      </w:tr>
      <w:tr>
        <w:tc>
          <w:tcPr>
            <w:tcW w:type="dxa" w:w="2000"/>
            <w:tcBorders>
              <w:top w:val="single" w:color="CCCCCC" w:sz="1"/>
              <w:left w:val="single" w:color="CCCCCC" w:sz="1"/>
              <w:bottom w:val="single" w:color="CCCCCC" w:sz="1"/>
              <w:right w:val="single" w:color="CCCCCC" w:sz="1"/>
            </w:tcBorders>
            <w:shd w:fill="2A4A70" w:val="clear"/>
            <w:tcMar>
              <w:top w:type="dxa" w:w="60"/>
              <w:left w:type="dxa" w:w="120"/>
              <w:bottom w:type="dxa" w:w="60"/>
              <w:right w:type="dxa" w:w="120"/>
            </w:tcMar>
          </w:tcPr>
          <w:p>
            <w:r>
              <w:rPr>
                <w:rFonts w:ascii="Arial" w:cs="Arial" w:eastAsia="Arial" w:hAnsi="Arial"/>
                <w:b/>
                <w:bCs/>
                <w:color w:val="FFFFFF"/>
                <w:sz w:val="20"/>
                <w:szCs w:val="20"/>
              </w:rPr>
              <w:t xml:space="preserve">Obligationen</w:t>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Obligationen Schweiz</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1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Staatsobligationen global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Unternehmensobligation. global</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30%</w:t>
            </w:r>
          </w:p>
        </w:tc>
        <w:tc>
          <w:tcPr>
            <w:tcW w:type="dxa" w:w="1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Unternehmensobligation. global kfr.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Ø 24.5%</w:t>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Obligationen High Yield Global</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50%</w:t>
            </w:r>
          </w:p>
        </w:tc>
        <w:tc>
          <w:tcPr>
            <w:tcW w:type="dxa" w:w="1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Obligationen Schwellenländer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Obligationen (allg.)</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25%</w:t>
            </w:r>
          </w:p>
        </w:tc>
        <w:tc>
          <w:tcPr>
            <w:tcW w:type="dxa" w:w="1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2A4A70" w:val="clear"/>
            <w:tcMar>
              <w:top w:type="dxa" w:w="60"/>
              <w:left w:type="dxa" w:w="120"/>
              <w:bottom w:type="dxa" w:w="60"/>
              <w:right w:type="dxa" w:w="120"/>
            </w:tcMar>
          </w:tcPr>
          <w:p>
            <w:r>
              <w:rPr>
                <w:rFonts w:ascii="Arial" w:cs="Arial" w:eastAsia="Arial" w:hAnsi="Arial"/>
                <w:b/>
                <w:bCs/>
                <w:color w:val="FFFFFF"/>
                <w:sz w:val="20"/>
                <w:szCs w:val="20"/>
              </w:rPr>
              <w:t xml:space="preserve">Aktien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Aktien Schweiz Large Cap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70%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Aktien Schweiz Small &amp; Mid Cap</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80%</w:t>
            </w:r>
          </w:p>
        </w:tc>
        <w:tc>
          <w:tcPr>
            <w:tcW w:type="dxa" w:w="1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Aktien Ausland Small &amp; Mid Cap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90%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Ø 79%</w:t>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Aktien Schwellenländer</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100%</w:t>
            </w:r>
          </w:p>
        </w:tc>
        <w:tc>
          <w:tcPr>
            <w:tcW w:type="dxa" w:w="1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Aktien Ausland Large Cap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2A4A70" w:val="clear"/>
            <w:tcMar>
              <w:top w:type="dxa" w:w="60"/>
              <w:left w:type="dxa" w:w="120"/>
              <w:bottom w:type="dxa" w:w="60"/>
              <w:right w:type="dxa" w:w="120"/>
            </w:tcMar>
          </w:tcPr>
          <w:p>
            <w:r>
              <w:rPr>
                <w:rFonts w:ascii="Arial" w:cs="Arial" w:eastAsia="Arial" w:hAnsi="Arial"/>
                <w:b/>
                <w:bCs/>
                <w:color w:val="FFFFFF"/>
                <w:sz w:val="20"/>
                <w:szCs w:val="20"/>
              </w:rPr>
              <w:t xml:space="preserve">Immobilien (Max. 20%)</w:t>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Immobilien Schweiz</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50%</w:t>
            </w:r>
          </w:p>
        </w:tc>
        <w:tc>
          <w:tcPr>
            <w:tcW w:type="dxa" w:w="1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Ø 50%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Immobilien Ausland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70%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2A4A70" w:val="clear"/>
            <w:tcMar>
              <w:top w:type="dxa" w:w="60"/>
              <w:left w:type="dxa" w:w="120"/>
              <w:bottom w:type="dxa" w:w="60"/>
              <w:right w:type="dxa" w:w="120"/>
            </w:tcMar>
          </w:tcPr>
          <w:p>
            <w:r>
              <w:rPr>
                <w:rFonts w:ascii="Arial" w:cs="Arial" w:eastAsia="Arial" w:hAnsi="Arial"/>
                <w:b/>
                <w:bCs/>
                <w:color w:val="FFFFFF"/>
                <w:sz w:val="20"/>
                <w:szCs w:val="20"/>
              </w:rPr>
              <w:t xml:space="preserve">Alternative Anlagen (Max. 10%)</w:t>
            </w:r>
          </w:p>
        </w:tc>
        <w:tc>
          <w:tcPr>
            <w:tcW w:type="dxa" w:w="3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Liquid Alternatives</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40%</w:t>
            </w:r>
          </w:p>
        </w:tc>
        <w:tc>
          <w:tcPr>
            <w:tcW w:type="dxa" w:w="1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Ø 60%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Gold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TRUE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
            </w:r>
          </w:p>
        </w:tc>
      </w:tr>
    </w:tbl>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Die Risky Fraction bestimmt wie viel einer Position zum risikogewichteten Anteil des Portfolios beiträgt. Beispiel: 100 CHF Aktien Schwellenländer (Risky Fraction 100%) zählen voll als risikoreich; 100 CHF Obligationen Schweiz (20%) zählen nur zu 20 CHF.</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3.3 Berater-Override</w:t>
      </w:r>
    </w:p>
    <w:p>
      <w:pPr>
        <w:pStyle w:val="ListParagraph"/>
        <w:numPr>
          <w:ilvl w:val="0"/>
          <w:numId w:val="2"/>
        </w:numPr>
        <w:spacing w:before="40" w:after="40"/>
      </w:pPr>
      <w:r>
        <w:rPr>
          <w:rFonts w:ascii="Arial" w:cs="Arial" w:eastAsia="Arial" w:hAnsi="Arial"/>
          <w:color w:val="1a1a1a"/>
          <w:sz w:val="22"/>
          <w:szCs w:val="22"/>
        </w:rPr>
        <w:t xml:space="preserve">Der Berater kann den systemseitig berechneten Score manuell überschreiben — nach oben oder nach unten.</w:t>
      </w:r>
    </w:p>
    <w:p>
      <w:pPr>
        <w:pStyle w:val="ListParagraph"/>
        <w:numPr>
          <w:ilvl w:val="0"/>
          <w:numId w:val="2"/>
        </w:numPr>
        <w:spacing w:before="40" w:after="40"/>
      </w:pPr>
      <w:r>
        <w:rPr>
          <w:rFonts w:ascii="Arial" w:cs="Arial" w:eastAsia="Arial" w:hAnsi="Arial"/>
          <w:color w:val="1a1a1a"/>
          <w:sz w:val="22"/>
          <w:szCs w:val="22"/>
        </w:rPr>
        <w:t xml:space="preserve">Keine systeminterne Begründungspflicht. Die Zustimmung zur Abweichung wird vertraglich geregelt.</w:t>
      </w:r>
    </w:p>
    <w:p>
      <w:pPr>
        <w:pStyle w:val="ListParagraph"/>
        <w:numPr>
          <w:ilvl w:val="0"/>
          <w:numId w:val="2"/>
        </w:numPr>
        <w:spacing w:before="40" w:after="40"/>
      </w:pPr>
      <w:r>
        <w:rPr>
          <w:rFonts w:ascii="Arial" w:cs="Arial" w:eastAsia="Arial" w:hAnsi="Arial"/>
          <w:color w:val="1a1a1a"/>
          <w:sz w:val="22"/>
          <w:szCs w:val="22"/>
        </w:rPr>
        <w:t xml:space="preserve">Das System protokolliert technisch: wer hat wann welchen Score von X auf Y geändert.</w:t>
      </w:r>
    </w:p>
    <w:p>
      <w:pPr>
        <w:pStyle w:val="ListParagraph"/>
        <w:numPr>
          <w:ilvl w:val="0"/>
          <w:numId w:val="2"/>
        </w:numPr>
        <w:spacing w:before="40" w:after="40"/>
      </w:pPr>
      <w:r>
        <w:rPr>
          <w:rFonts w:ascii="Arial" w:cs="Arial" w:eastAsia="Arial" w:hAnsi="Arial"/>
          <w:color w:val="1a1a1a"/>
          <w:sz w:val="22"/>
          <w:szCs w:val="22"/>
        </w:rPr>
        <w:t xml:space="preserve">Der Override wird im Kundenbericht ausgewiesen.</w:t>
      </w:r>
    </w:p>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Offener Punkt: Berechnungsformel und Fragebogenlogik der Risikoprofilierung werden vom Management geliefert und dann hier verankert.</w:t>
      </w:r>
    </w:p>
    <w:p>
      <w:pPr>
        <w:spacing w:before="0" w:after="200"/>
      </w:pPr>
      <w:r>
        <w:t xml:space="preserve"/>
      </w:r>
    </w:p>
    <w:p>
      <w:pPr>
        <w:pStyle w:val="Heading1"/>
        <w:pBdr>
          <w:bottom w:val="single" w:color="C9A84C" w:sz="8" w:space="4"/>
        </w:pBdr>
        <w:spacing w:before="480" w:after="160"/>
      </w:pPr>
      <w:r>
        <w:rPr>
          <w:rFonts w:ascii="Arial" w:cs="Arial" w:eastAsia="Arial" w:hAnsi="Arial"/>
          <w:b/>
          <w:bCs/>
          <w:color w:val="0F1E34"/>
          <w:sz w:val="32"/>
          <w:szCs w:val="32"/>
        </w:rPr>
        <w:t xml:space="preserve">5. Anlageklassen</w:t>
      </w:r>
    </w:p>
    <w:p>
      <w:pPr>
        <w:spacing w:before="60" w:after="100"/>
      </w:pPr>
      <w:r>
        <w:rPr>
          <w:rFonts w:ascii="Arial" w:cs="Arial" w:eastAsia="Arial" w:hAnsi="Arial"/>
          <w:color w:val="1a1a1a"/>
          <w:sz w:val="22"/>
          <w:szCs w:val="22"/>
        </w:rPr>
        <w:t xml:space="preserve">5 Hauptanlageklassen mit Subanlageklassen. Zusätzlich Custom Asset für nicht standardisierte Vermögenswerte.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Hauptanlageklasse</w:t>
            </w:r>
          </w:p>
        </w:tc>
        <w:tc>
          <w:tcPr>
            <w:tcW w:type="dxa" w:w="4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Subanlageklassen</w:t>
            </w:r>
          </w:p>
        </w:tc>
        <w:tc>
          <w:tcPr>
            <w:tcW w:type="dxa" w:w="33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Hinweise</w:t>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Liquidität</w:t>
            </w:r>
          </w:p>
        </w:tc>
        <w:tc>
          <w:tcPr>
            <w:tcW w:type="dxa" w:w="4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Kontoguthaben / Cash
Geldmarktfonds
Kurzfristige Festgelder (&lt; 1 Jahr)</w:t>
            </w:r>
          </w:p>
        </w:tc>
        <w:tc>
          <w:tcPr>
            <w:tcW w:type="dxa" w:w="3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Tiefe strategische Gewichtung; grosser Liquiditätsbedarf separat führen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Obligationen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CHF Obligationen (Inv. Grade)
Fremdwährungsobligationen (hedged)
Fremdwährungsobligationen (unhedged)
Hochzinsanleihen
Emerging Market Bonds
Inflationsgeschützte Anleihen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Sinkende Gewichtung mit steigendem Risikoprofil</w:t>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Aktien</w:t>
            </w:r>
          </w:p>
        </w:tc>
        <w:tc>
          <w:tcPr>
            <w:tcW w:type="dxa" w:w="4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Schweizer Aktien
Europäische Aktien
Nordamerikanische Aktien
Asien/Pazifik Aktien
Emerging Markets Aktien
Globale Aktien (ETF/Fonds)</w:t>
            </w:r>
          </w:p>
        </w:tc>
        <w:tc>
          <w:tcPr>
            <w:tcW w:type="dxa" w:w="3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Kernsteuerungsgrösse des Risikoprofils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Immobilien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Schweizer Immobilienfonds / REITs
Internationale Immobilienfonds
Direktimmobilien (Schätzwert manuell)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Direktimmobilien werden manuell bewertet</w:t>
            </w:r>
          </w:p>
        </w:tc>
      </w:tr>
      <w:tr>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Alternative Anlagen</w:t>
            </w:r>
          </w:p>
        </w:tc>
        <w:tc>
          <w:tcPr>
            <w:tcW w:type="dxa" w:w="4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Hedge Funds
Private Equity
Rohstoffe / Gold
Infrastruktur
Kryptowährungen
Custom Asset (frei benennbar)</w:t>
            </w:r>
          </w:p>
        </w:tc>
        <w:tc>
          <w:tcPr>
            <w:tcW w:type="dxa" w:w="3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Custom Asset: Name, Wert, Klasse frei definierbar</w:t>
            </w:r>
          </w:p>
        </w:tc>
      </w:tr>
    </w:tbl>
    <w:p>
      <w:pPr>
        <w:spacing w:before="0" w:after="100"/>
      </w:pPr>
      <w:r>
        <w:t xml:space="preserve"/>
      </w:r>
    </w:p>
    <w:p>
      <w:pPr>
        <w:pStyle w:val="Heading2"/>
        <w:spacing w:before="320" w:after="120"/>
      </w:pPr>
      <w:r>
        <w:rPr>
          <w:rFonts w:ascii="Arial" w:cs="Arial" w:eastAsia="Arial" w:hAnsi="Arial"/>
          <w:b/>
          <w:bCs/>
          <w:color w:val="0F1E34"/>
          <w:sz w:val="26"/>
          <w:szCs w:val="26"/>
        </w:rPr>
        <w:t xml:space="preserve">4.1 Custom Asset</w:t>
      </w:r>
    </w:p>
    <w:p>
      <w:pPr>
        <w:pStyle w:val="ListParagraph"/>
        <w:numPr>
          <w:ilvl w:val="0"/>
          <w:numId w:val="2"/>
        </w:numPr>
        <w:spacing w:before="40" w:after="40"/>
      </w:pPr>
      <w:r>
        <w:rPr>
          <w:rFonts w:ascii="Arial" w:cs="Arial" w:eastAsia="Arial" w:hAnsi="Arial"/>
          <w:color w:val="1a1a1a"/>
          <w:sz w:val="22"/>
          <w:szCs w:val="22"/>
        </w:rPr>
        <w:t xml:space="preserve">Pflichtfelder: Name (Freitext), Hauptanlageklasse (Zuweisung zu einer der 5 Klassen), aktueller Schätzwert (CHF), Datum der Bewertung.</w:t>
      </w:r>
    </w:p>
    <w:p>
      <w:pPr>
        <w:pStyle w:val="ListParagraph"/>
        <w:numPr>
          <w:ilvl w:val="0"/>
          <w:numId w:val="2"/>
        </w:numPr>
        <w:spacing w:before="40" w:after="40"/>
      </w:pPr>
      <w:r>
        <w:rPr>
          <w:rFonts w:ascii="Arial" w:cs="Arial" w:eastAsia="Arial" w:hAnsi="Arial"/>
          <w:color w:val="1a1a1a"/>
          <w:sz w:val="22"/>
          <w:szCs w:val="22"/>
        </w:rPr>
        <w:t xml:space="preserve">Optionale Felder: Beschreibung, Währung, Illiquiditätskennzeichnung (ja/nein), Verknüpfung mit einem Ziel.</w:t>
      </w:r>
    </w:p>
    <w:p>
      <w:pPr>
        <w:pStyle w:val="ListParagraph"/>
        <w:numPr>
          <w:ilvl w:val="0"/>
          <w:numId w:val="2"/>
        </w:numPr>
        <w:spacing w:before="40" w:after="40"/>
      </w:pPr>
      <w:r>
        <w:rPr>
          <w:rFonts w:ascii="Arial" w:cs="Arial" w:eastAsia="Arial" w:hAnsi="Arial"/>
          <w:color w:val="1a1a1a"/>
          <w:sz w:val="22"/>
          <w:szCs w:val="22"/>
        </w:rPr>
        <w:t xml:space="preserve">Custom Assets erscheinen immer im Gesamtvermögen. Sie fliessen nur dann in die Allokationsberechnung ein, wenn sie explizit dem Beratungsvermögen zugeordnet wurden.</w:t>
      </w:r>
    </w:p>
    <w:p>
      <w:pPr>
        <w:pStyle w:val="ListParagraph"/>
        <w:numPr>
          <w:ilvl w:val="0"/>
          <w:numId w:val="2"/>
        </w:numPr>
        <w:spacing w:before="40" w:after="40"/>
      </w:pPr>
      <w:r>
        <w:rPr>
          <w:rFonts w:ascii="Arial" w:cs="Arial" w:eastAsia="Arial" w:hAnsi="Arial"/>
          <w:color w:val="1a1a1a"/>
          <w:sz w:val="22"/>
          <w:szCs w:val="22"/>
        </w:rPr>
        <w:t xml:space="preserve">Keine Einschränkung auf bestimmte Asset-Typen — alles was einen Wert hat und einem Ziel zugeordnet werden kann.</w:t>
      </w:r>
    </w:p>
    <w:p>
      <w:pPr>
        <w:spacing w:before="0" w:after="200"/>
      </w:pPr>
      <w:r>
        <w:t xml:space="preserve"/>
      </w:r>
    </w:p>
    <w:p>
      <w:pPr>
        <w:pStyle w:val="Heading1"/>
        <w:pBdr>
          <w:bottom w:val="single" w:color="C9A84C" w:sz="8" w:space="4"/>
        </w:pBdr>
        <w:spacing w:before="480" w:after="160"/>
      </w:pPr>
      <w:r>
        <w:rPr>
          <w:rFonts w:ascii="Arial" w:cs="Arial" w:eastAsia="Arial" w:hAnsi="Arial"/>
          <w:b/>
          <w:bCs/>
          <w:color w:val="0F1E34"/>
          <w:sz w:val="32"/>
          <w:szCs w:val="32"/>
        </w:rPr>
        <w:t xml:space="preserve">6. Kapitalmarktannahmen und Produktliste</w:t>
      </w:r>
    </w:p>
    <w:p>
      <w:pPr>
        <w:pStyle w:val="Heading2"/>
        <w:spacing w:before="320" w:after="120"/>
      </w:pPr>
      <w:r>
        <w:rPr>
          <w:rFonts w:ascii="Arial" w:cs="Arial" w:eastAsia="Arial" w:hAnsi="Arial"/>
          <w:b/>
          <w:bCs/>
          <w:color w:val="0F1E34"/>
          <w:sz w:val="26"/>
          <w:szCs w:val="26"/>
        </w:rPr>
        <w:t xml:space="preserve">5.1 Kapitalmarktannahmen</w:t>
      </w:r>
    </w:p>
    <w:p>
      <w:pPr>
        <w:spacing w:before="60" w:after="100"/>
      </w:pPr>
      <w:r>
        <w:rPr>
          <w:rFonts w:ascii="Arial" w:cs="Arial" w:eastAsia="Arial" w:hAnsi="Arial"/>
          <w:color w:val="1a1a1a"/>
          <w:sz w:val="22"/>
          <w:szCs w:val="22"/>
        </w:rPr>
        <w:t xml:space="preserve">Kapitalmarktannahmen definieren die erwarteten Renditen und Risiken pro Anlageklasse. Sie sind die Inputparameter für den Optimizer und die Zielerreichungsberechnung.</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Entscheidung</w:t>
            </w:r>
          </w:p>
        </w:tc>
        <w:tc>
          <w:tcPr>
            <w:tcW w:type="dxa" w:w="228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c>
          <w:tcPr>
            <w:tcW w:type="dxa" w:w="228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V1-Ansatz</w:t>
            </w:r>
          </w:p>
        </w:tc>
        <w:tc>
          <w:tcPr>
            <w:tcW w:type="dxa" w:w="2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Rhythmus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Quelle</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Rendite- und Risikoerwartungen pro Anlageklasse</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Manuell aus publizierten Quellen (UBS, Pictet, BIS o.ä.)</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1–2x pro Jahr</w:t>
            </w:r>
          </w:p>
        </w:tc>
      </w:tr>
      <w:tr>
        <w:tc>
          <w:tcPr>
            <w:tcW w:type="dxa" w:w="2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Format</w:t>
            </w:r>
          </w:p>
        </w:tc>
        <w:tc>
          <w:tcPr>
            <w:tcW w:type="dxa" w:w="22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Tabelle: Anlageklasse, Erwartete Rendite p.a., Volatilität p.a., Sharpe Ratio</w:t>
            </w:r>
          </w:p>
        </w:tc>
        <w:tc>
          <w:tcPr>
            <w:tcW w:type="dxa" w:w="22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Interne Excel/Tabelle, manuell ins System eingepflegt</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Bei jedem Update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Owner</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Wer ist verantwortlich für die Annahmen?</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Portfolio Management / Fachowner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Jährliche Abnahme</w:t>
            </w:r>
          </w:p>
        </w:tc>
      </w:tr>
      <w:tr>
        <w:tc>
          <w:tcPr>
            <w:tcW w:type="dxa" w:w="2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Live-Schnittstelle</w:t>
            </w:r>
          </w:p>
        </w:tc>
        <w:tc>
          <w:tcPr>
            <w:tcW w:type="dxa" w:w="22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Automatischer Datenbezug</w:t>
            </w:r>
          </w:p>
        </w:tc>
        <w:tc>
          <w:tcPr>
            <w:tcW w:type="dxa" w:w="228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Nicht in V1 — kommt in V2+</w:t>
            </w:r>
          </w:p>
        </w:tc>
        <w:tc>
          <w:tcPr>
            <w:tcW w:type="dxa" w:w="2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w:t>
            </w:r>
          </w:p>
        </w:tc>
      </w:tr>
    </w:tbl>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Offener Punkt: Konkrete Zahlen (erwartete Rendite und Volatilität pro Anlageklasse) müssen vom Portfolio Management geliefert und abgenommen werden. Erst dann kann der Optimizer kalibriert werden.</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5.2 Produktliste und Best-in-Class</w:t>
      </w:r>
    </w:p>
    <w:p>
      <w:pPr>
        <w:spacing w:before="60" w:after="100"/>
      </w:pPr>
      <w:r>
        <w:rPr>
          <w:rFonts w:ascii="Arial" w:cs="Arial" w:eastAsia="Arial" w:hAnsi="Arial"/>
          <w:color w:val="1a1a1a"/>
          <w:sz w:val="22"/>
          <w:szCs w:val="22"/>
        </w:rPr>
        <w:t xml:space="preserve">5Eyes ist unabhängig und arbeitet nach dem Best-in-Class Prinzip: Das System empfiehlt das beste verfügbare Produkt pro Anlageklasse — ohne Anbieterbindung.</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Thema</w:t>
            </w:r>
          </w:p>
        </w:tc>
        <w:tc>
          <w:tcPr>
            <w:tcW w:type="dxa" w:w="35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Entscheid</w:t>
            </w:r>
          </w:p>
        </w:tc>
        <w:tc>
          <w:tcPr>
            <w:tcW w:type="dxa" w:w="3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Begründung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Unabhängigkeit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Best-in-Class, keine Anbieterbindung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Objektivität und Kundeninteresse zuerst</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Update-Rhythmus</w:t>
            </w:r>
          </w:p>
        </w:tc>
        <w:tc>
          <w:tcPr>
            <w:tcW w:type="dxa" w:w="35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1–2x pro Jahr manuell</w:t>
            </w:r>
          </w:p>
        </w:tc>
        <w:tc>
          <w:tcPr>
            <w:tcW w:type="dxa" w:w="3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Robuster als Live-Schnittstelle in V1; geprüfte, stabile Liste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Auswahlkriterien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TER (Kosten), Liquidität, Tracking Error (passiv), Fondsgrösse, Track Record, ESG-Rating (wenn relevant), Währungsklasse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Offener Punkt: finale Kriterienliste durch Portfolio Management abzunehmen</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Format</w:t>
            </w:r>
          </w:p>
        </w:tc>
        <w:tc>
          <w:tcPr>
            <w:tcW w:type="dxa" w:w="35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Pro Anlageklasse: ISIN, Name, Anbieter, TER, Währung, Mindestanlage, Liquidität</w:t>
            </w:r>
          </w:p>
        </w:tc>
        <w:tc>
          <w:tcPr>
            <w:tcW w:type="dxa" w:w="3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Interne Produkttabelle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Scope V1</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Nur Fonds und ETFs werden aktiv empfohlen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Einzeltitel-Research ist eigenes Produkt — kommt in V2</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Bestehende Einzeltitel</w:t>
            </w:r>
          </w:p>
        </w:tc>
        <w:tc>
          <w:tcPr>
            <w:tcW w:type="dxa" w:w="35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Werden im Depot abgebildet und in Allokationsberechnung eingerechnet</w:t>
            </w:r>
          </w:p>
        </w:tc>
        <w:tc>
          <w:tcPr>
            <w:tcW w:type="dxa" w:w="3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Nicht aktiv empfohlen, aber sichtbar und allokationsrelevant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Kursdaten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Täglich automatisch über Marktdaten-Feed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SIX, Yahoo Finance oder OpenBB — günstig lösbar für V1</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Live-Datenbankanbindung Einzeltitel</w:t>
            </w:r>
          </w:p>
        </w:tc>
        <w:tc>
          <w:tcPr>
            <w:tcW w:type="dxa" w:w="35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Nicht in V1</w:t>
            </w:r>
          </w:p>
        </w:tc>
        <w:tc>
          <w:tcPr>
            <w:tcW w:type="dxa" w:w="3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Kommt in V2 zusammen mit aktivem Einzeltitel-Research</w:t>
            </w:r>
          </w:p>
        </w:tc>
      </w:tr>
    </w:tbl>
    <w:p>
      <w:pPr>
        <w:spacing w:before="0" w:after="200"/>
      </w:pPr>
      <w:r>
        <w:t xml:space="preserve"/>
      </w:r>
    </w:p>
    <w:p>
      <w:pPr>
        <w:pStyle w:val="Heading1"/>
        <w:pBdr>
          <w:bottom w:val="single" w:color="C9A84C" w:sz="8" w:space="4"/>
        </w:pBdr>
        <w:spacing w:before="480" w:after="160"/>
      </w:pPr>
      <w:r>
        <w:rPr>
          <w:rFonts w:ascii="Arial" w:cs="Arial" w:eastAsia="Arial" w:hAnsi="Arial"/>
          <w:b/>
          <w:bCs/>
          <w:color w:val="0F1E34"/>
          <w:sz w:val="32"/>
          <w:szCs w:val="32"/>
        </w:rPr>
        <w:t xml:space="preserve">7. Restriktionen und Kundenpräferenzen</w:t>
      </w:r>
    </w:p>
    <w:p>
      <w:pPr>
        <w:spacing w:before="60" w:after="100"/>
      </w:pPr>
      <w:r>
        <w:rPr>
          <w:rFonts w:ascii="Arial" w:cs="Arial" w:eastAsia="Arial" w:hAnsi="Arial"/>
          <w:color w:val="1a1a1a"/>
          <w:sz w:val="22"/>
          <w:szCs w:val="22"/>
        </w:rPr>
        <w:t xml:space="preserve">Strukturierte Restriktionsliste — detailliert aber handhabbar. Restriktionen der Kategorien Liquidität und Konzentration sind harte Grenzen (Optimizer Stufe A). Alle anderen fliessen in die Produktauswahl ein.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Kategorie</w:t>
            </w:r>
          </w:p>
        </w:tc>
        <w:tc>
          <w:tcPr>
            <w:tcW w:type="dxa" w:w="4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Optionen</w:t>
            </w:r>
          </w:p>
        </w:tc>
        <w:tc>
          <w:tcPr>
            <w:tcW w:type="dxa" w:w="27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Bemerkung</w:t>
            </w:r>
          </w:p>
        </w:tc>
      </w:tr>
      <w:tr>
        <w:tc>
          <w:tcPr>
            <w:tcW w:type="dxa" w:w="2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ESG / Nachhaltig</w:t>
            </w:r>
          </w:p>
        </w:tc>
        <w:tc>
          <w:tcPr>
            <w:tcW w:type="dxa" w:w="4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ESG-Integration, Best-in-Class, Negativ-Screening, Impact Investing, SDG-Ausrichtung</w:t>
            </w:r>
          </w:p>
        </w:tc>
        <w:tc>
          <w:tcPr>
            <w:tcW w:type="dxa" w:w="27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Mehrfachauswahl möglich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Sektorausschlüsse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Kriegsmaterial / Rüstung, Tabak, Alkohol, Glücksspiel, Fossile Energie, Kernenergie, Pornografie, Tierversuche, Genmanipulation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Granulare Einzelauswahl</w:t>
            </w:r>
          </w:p>
        </w:tc>
      </w:tr>
      <w:tr>
        <w:tc>
          <w:tcPr>
            <w:tcW w:type="dxa" w:w="2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Geografisch</w:t>
            </w:r>
          </w:p>
        </w:tc>
        <w:tc>
          <w:tcPr>
            <w:tcW w:type="dxa" w:w="4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Ausschluss bestimmter Länder oder Regionen; Fokus auf bestimmte Währungsräume</w:t>
            </w:r>
          </w:p>
        </w:tc>
        <w:tc>
          <w:tcPr>
            <w:tcW w:type="dxa" w:w="27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z.B. kein USD-Exposure, nur 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Währungen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Max. Fremdwährungsanteil (%), Währungsabsicherung obligatorisch, Erlaubte Währungen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Prozentangabe oder Liste</w:t>
            </w:r>
          </w:p>
        </w:tc>
      </w:tr>
      <w:tr>
        <w:tc>
          <w:tcPr>
            <w:tcW w:type="dxa" w:w="2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Liquidität</w:t>
            </w:r>
          </w:p>
        </w:tc>
        <w:tc>
          <w:tcPr>
            <w:tcW w:type="dxa" w:w="4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Mindestliquiditätsreserve (CHF oder %), Max. Illiquiditätsanteil (%)</w:t>
            </w:r>
          </w:p>
        </w:tc>
        <w:tc>
          <w:tcPr>
            <w:tcW w:type="dxa" w:w="27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Harte Grenze — Optimizer Stufe 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Produkttypen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Keine Derivate, Keine Hebelprodukte, Keine strukturierten Produkte, Nur kotierte Wertpapiere, Nur Fonds/ETFs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Mehrfachauswahl</w:t>
            </w:r>
          </w:p>
        </w:tc>
      </w:tr>
      <w:tr>
        <w:tc>
          <w:tcPr>
            <w:tcW w:type="dxa" w:w="22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Konzentration</w:t>
            </w:r>
          </w:p>
        </w:tc>
        <w:tc>
          <w:tcPr>
            <w:tcW w:type="dxa" w:w="4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Max. Einzelposition (%), Max. Einzelemittent (%), Max. Branchengewichtung (%)</w:t>
            </w:r>
          </w:p>
        </w:tc>
        <w:tc>
          <w:tcPr>
            <w:tcW w:type="dxa" w:w="27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Numerische Eingabe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Custom-Restriktion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Freitext-Restriktion, individuell benennbar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Für Sonderfälle</w:t>
            </w:r>
          </w:p>
        </w:tc>
      </w:tr>
    </w:tbl>
    <w:p>
      <w:pPr>
        <w:spacing w:before="0" w:after="100"/>
      </w:pPr>
      <w:r>
        <w:t xml:space="preserve"/>
      </w:r>
    </w:p>
    <w:p>
      <w:pPr>
        <w:pStyle w:val="Heading2"/>
        <w:spacing w:before="320" w:after="120"/>
      </w:pPr>
      <w:r>
        <w:rPr>
          <w:rFonts w:ascii="Arial" w:cs="Arial" w:eastAsia="Arial" w:hAnsi="Arial"/>
          <w:b/>
          <w:bCs/>
          <w:color w:val="0F1E34"/>
          <w:sz w:val="26"/>
          <w:szCs w:val="26"/>
        </w:rPr>
        <w:t xml:space="preserve">5.1 Fokusmöglichkeiten (positiv)</w:t>
      </w:r>
    </w:p>
    <w:p>
      <w:pPr>
        <w:pStyle w:val="ListParagraph"/>
        <w:numPr>
          <w:ilvl w:val="0"/>
          <w:numId w:val="2"/>
        </w:numPr>
        <w:spacing w:before="40" w:after="40"/>
      </w:pPr>
      <w:r>
        <w:rPr>
          <w:rFonts w:ascii="Arial" w:cs="Arial" w:eastAsia="Arial" w:hAnsi="Arial"/>
          <w:color w:val="1a1a1a"/>
          <w:sz w:val="22"/>
          <w:szCs w:val="22"/>
        </w:rPr>
        <w:t xml:space="preserve">Thematischer Fokus: Technologie, Healthcare, Clean Energy, Infrastruktur, etc.</w:t>
      </w:r>
    </w:p>
    <w:p>
      <w:pPr>
        <w:pStyle w:val="ListParagraph"/>
        <w:numPr>
          <w:ilvl w:val="0"/>
          <w:numId w:val="2"/>
        </w:numPr>
        <w:spacing w:before="40" w:after="40"/>
      </w:pPr>
      <w:r>
        <w:rPr>
          <w:rFonts w:ascii="Arial" w:cs="Arial" w:eastAsia="Arial" w:hAnsi="Arial"/>
          <w:color w:val="1a1a1a"/>
          <w:sz w:val="22"/>
          <w:szCs w:val="22"/>
        </w:rPr>
        <w:t xml:space="preserve">Geografischer Fokus: Heimatmarkt Schweiz, Europa, Schwellenländer, etc.</w:t>
      </w:r>
    </w:p>
    <w:p>
      <w:pPr>
        <w:pStyle w:val="ListParagraph"/>
        <w:numPr>
          <w:ilvl w:val="0"/>
          <w:numId w:val="2"/>
        </w:numPr>
        <w:spacing w:before="40" w:after="40"/>
      </w:pPr>
      <w:r>
        <w:rPr>
          <w:rFonts w:ascii="Arial" w:cs="Arial" w:eastAsia="Arial" w:hAnsi="Arial"/>
          <w:color w:val="1a1a1a"/>
          <w:sz w:val="22"/>
          <w:szCs w:val="22"/>
        </w:rPr>
        <w:t xml:space="preserve">ESG-Fokus: Konkrete SDG-Ziele, Impact-Kategorien.</w:t>
      </w:r>
    </w:p>
    <w:p>
      <w:pPr>
        <w:pStyle w:val="ListParagraph"/>
        <w:numPr>
          <w:ilvl w:val="0"/>
          <w:numId w:val="2"/>
        </w:numPr>
        <w:spacing w:before="40" w:after="40"/>
      </w:pPr>
      <w:r>
        <w:rPr>
          <w:rFonts w:ascii="Arial" w:cs="Arial" w:eastAsia="Arial" w:hAnsi="Arial"/>
          <w:color w:val="1a1a1a"/>
          <w:sz w:val="22"/>
          <w:szCs w:val="22"/>
        </w:rPr>
        <w:t xml:space="preserve">Fokusse priorisieren — sie schliessen nicht aus, sondern erhöhen die Gewichtung entsprechender Positionen.</w:t>
      </w:r>
    </w:p>
    <w:p>
      <w:pPr>
        <w:spacing w:before="0" w:after="200"/>
      </w:pPr>
      <w:r>
        <w:t xml:space="preserve"/>
      </w:r>
    </w:p>
    <w:p>
      <w:pPr>
        <w:pStyle w:val="Heading1"/>
        <w:pBdr>
          <w:bottom w:val="single" w:color="C9A84C" w:sz="8" w:space="4"/>
        </w:pBdr>
        <w:spacing w:before="480" w:after="160"/>
      </w:pPr>
      <w:r>
        <w:rPr>
          <w:rFonts w:ascii="Arial" w:cs="Arial" w:eastAsia="Arial" w:hAnsi="Arial"/>
          <w:b/>
          <w:bCs/>
          <w:color w:val="0F1E34"/>
          <w:sz w:val="32"/>
          <w:szCs w:val="32"/>
        </w:rPr>
        <w:t xml:space="preserve">8. Review und Governance-Trigger</w:t>
      </w:r>
    </w:p>
    <w:p>
      <w:pPr>
        <w:spacing w:before="60" w:after="100"/>
      </w:pPr>
      <w:r>
        <w:rPr>
          <w:rFonts w:ascii="Arial" w:cs="Arial" w:eastAsia="Arial" w:hAnsi="Arial"/>
          <w:color w:val="1a1a1a"/>
          <w:sz w:val="22"/>
          <w:szCs w:val="22"/>
        </w:rPr>
        <w:t xml:space="preserve">Review-Trigger sind definierte Prüfungsanlässe — keine automatischen Transaktionssignale. Sie lösen eine erneute Überprüfung der Kundensituation und Allokation aus.</w:t>
      </w:r>
    </w:p>
    <w:p>
      <w:pPr>
        <w:spacing w:before="0" w:after="100"/>
      </w:pPr>
      <w:r>
        <w:t xml:space="preserve"/>
      </w:r>
    </w:p>
    <w:p>
      <w:pPr>
        <w:pStyle w:val="Heading2"/>
        <w:spacing w:before="320" w:after="120"/>
      </w:pPr>
      <w:r>
        <w:rPr>
          <w:rFonts w:ascii="Arial" w:cs="Arial" w:eastAsia="Arial" w:hAnsi="Arial"/>
          <w:b/>
          <w:bCs/>
          <w:color w:val="0F1E34"/>
          <w:sz w:val="26"/>
          <w:szCs w:val="26"/>
        </w:rPr>
        <w:t xml:space="preserve">6.1 Review-Typen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Typ</w:t>
            </w:r>
          </w:p>
        </w:tc>
        <w:tc>
          <w:tcPr>
            <w:tcW w:type="dxa" w:w="35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c>
          <w:tcPr>
            <w:tcW w:type="dxa" w:w="3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Auslöser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Jahresreview</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Vollständige Überprüfung aller Kundendaten, Ziele und Allokation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Automatisch 12 Monate nach letztem Review</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Quartalscheck</w:t>
            </w:r>
          </w:p>
        </w:tc>
        <w:tc>
          <w:tcPr>
            <w:tcW w:type="dxa" w:w="35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Überwachung Drift und Zieltragfähigkeit</w:t>
            </w:r>
          </w:p>
        </w:tc>
        <w:tc>
          <w:tcPr>
            <w:tcW w:type="dxa" w:w="3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Automatisch alle 3 Monate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Drift-Trigger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Bandverletzung in einer Anlageklasse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Wenn Ist-Gewichtung ausserhalb Min-Max-Band — Schwellenwert noch zu definieren</w:t>
            </w:r>
          </w:p>
        </w:tc>
      </w:tr>
      <w:tr>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Ereignis-Trigger</w:t>
            </w:r>
          </w:p>
        </w:tc>
        <w:tc>
          <w:tcPr>
            <w:tcW w:type="dxa" w:w="35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Wesentliche Veränderung der Kundensituation</w:t>
            </w:r>
          </w:p>
        </w:tc>
        <w:tc>
          <w:tcPr>
            <w:tcW w:type="dxa" w:w="3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Pensionierung, Jobwechsel, Erbschaft, Immobilienkauf, grosse Ein-/Auszahlung, Ziel- oder Restriktionsänderung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Entscheidungsprotokoll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Jede manuelle Abweichung oder Override wird protokolliert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Berater-Override, manuelle Zieländerung, Restriktionsänderung</w:t>
            </w:r>
          </w:p>
        </w:tc>
      </w:tr>
    </w:tbl>
    <w:p>
      <w:pPr>
        <w:spacing w:before="0" w:after="100"/>
      </w:pPr>
      <w:r>
        <w:t xml:space="preserve"/>
      </w:r>
    </w:p>
    <w:p>
      <w:pPr>
        <w:pBdr>
          <w:left w:val="single" w:color="C9A84C" w:sz="12" w:space="8"/>
        </w:pBdr>
        <w:spacing w:before="80" w:after="80"/>
        <w:ind w:left="400"/>
      </w:pPr>
      <w:r>
        <w:rPr>
          <w:rFonts w:ascii="Arial" w:cs="Arial" w:eastAsia="Arial" w:hAnsi="Arial"/>
          <w:i/>
          <w:iCs/>
          <w:color w:val="7a5200"/>
          <w:sz w:val="20"/>
          <w:szCs w:val="20"/>
        </w:rPr>
        <w:t xml:space="preserve">Offener Punkt: Drift-Schwellenwerte (z.B. 5% Bandverletzung) müssen intern fixiert werden. Kein universeller Branchenstandard — das ist eine interne Governance-Entscheidung.</w:t>
      </w:r>
    </w:p>
    <w:p>
      <w:pPr>
        <w:spacing w:before="0" w:after="200"/>
      </w:pPr>
      <w:r>
        <w:t xml:space="preserve"/>
      </w:r>
    </w:p>
    <w:p>
      <w:pPr>
        <w:pStyle w:val="Heading1"/>
        <w:pBdr>
          <w:bottom w:val="single" w:color="C9A84C" w:sz="8" w:space="4"/>
        </w:pBdr>
        <w:spacing w:before="480" w:after="160"/>
      </w:pPr>
      <w:r>
        <w:rPr>
          <w:rFonts w:ascii="Arial" w:cs="Arial" w:eastAsia="Arial" w:hAnsi="Arial"/>
          <w:b/>
          <w:bCs/>
          <w:color w:val="0F1E34"/>
          <w:sz w:val="32"/>
          <w:szCs w:val="32"/>
        </w:rPr>
        <w:t xml:space="preserve">9. Offene Punkte</w:t>
      </w:r>
    </w:p>
    <w:p>
      <w:pPr>
        <w:spacing w:before="60" w:after="100"/>
      </w:pPr>
      <w:r>
        <w:rPr>
          <w:rFonts w:ascii="Arial" w:cs="Arial" w:eastAsia="Arial" w:hAnsi="Arial"/>
          <w:color w:val="1a1a1a"/>
          <w:sz w:val="22"/>
          <w:szCs w:val="22"/>
        </w:rPr>
        <w:t xml:space="preserve">Folgende Punkte sind fachlich noch nicht fixiert und werden ergänzt sobald verfügbar: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2460"/>
        <w:gridCol w:w="1800"/>
      </w:tblGrid>
      <w:tr>
        <w:trPr>
          <w:tblHeader/>
        </w:trPr>
        <w:tc>
          <w:tcPr>
            <w:tcW w:type="dxa" w:w="5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Offener Punkt</w:t>
            </w:r>
          </w:p>
        </w:tc>
        <w:tc>
          <w:tcPr>
            <w:tcW w:type="dxa" w:w="24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Zuständig</w:t>
            </w:r>
          </w:p>
        </w:tc>
        <w:tc>
          <w:tcPr>
            <w:tcW w:type="dxa" w:w="18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w:t>
            </w:r>
          </w:p>
        </w:tc>
        <w:tc>
          <w:tcPr>
            <w:tcW w:type="dxa" w:w="4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Risikoprofilierung: Fragebogenlogik und Berechnungsformel vollständig verankert (v1.6)</w:t>
            </w:r>
          </w:p>
        </w:tc>
        <w:tc>
          <w:tcPr>
            <w:tcW w:type="dxa" w:w="24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Fachowner</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Erledigt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Scoring-Formeln V1: Gewichtungsparameter durch Fachowner abnehmen (Entwurf: 0.6/0.4 Renditeziel, 0.5/0.3/0.2 Cashflow)</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Fachowner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Entwurf vorhanden</w:t>
            </w:r>
          </w:p>
        </w:tc>
      </w:tr>
      <w:tr>
        <w:tc>
          <w:tcPr>
            <w:tcW w:type="dxa" w:w="5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3</w:t>
            </w:r>
          </w:p>
        </w:tc>
        <w:tc>
          <w:tcPr>
            <w:tcW w:type="dxa" w:w="4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Kapitalmarktannahmen: Rendite-/Risikoerwartungen pro Anlageklasse — jährlich manuell gepflegt (keine Live-Schnittstelle V1)</w:t>
            </w:r>
          </w:p>
        </w:tc>
        <w:tc>
          <w:tcPr>
            <w:tcW w:type="dxa" w:w="24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Portfolio Management</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Ausstehend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4</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Kandidatenportfolios V1: Diskrete Musterportfolios oder Sampling? Owner und Pflegeprozess definieren.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Portfolio Management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Ausstehend</w:t>
            </w:r>
          </w:p>
        </w:tc>
      </w:tr>
      <w:tr>
        <w:tc>
          <w:tcPr>
            <w:tcW w:type="dxa" w:w="5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c>
          <w:tcPr>
            <w:tcW w:type="dxa" w:w="4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Review-Trigger: Drift-Schwellenwerte (Bandbreiten) und Ereignis-Trigger-Liste final definieren</w:t>
            </w:r>
          </w:p>
        </w:tc>
        <w:tc>
          <w:tcPr>
            <w:tcW w:type="dxa" w:w="24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Fachowner / Compliance</w:t>
            </w:r>
          </w:p>
        </w:tc>
        <w:tc>
          <w:tcPr>
            <w:tcW w:type="dxa" w:w="18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Ausstehend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6</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Produktliste: Format, Quelle und Update-Prozess (1–2x/Jahr manuell) definieren; Kriterien Best-in-Class fixieren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Portfolio Management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Ausstehend</w:t>
            </w:r>
          </w:p>
        </w:tc>
      </w:tr>
    </w:tbl>
    <w:p>
      <w:pPr>
        <w:spacing w:before="0" w:after="200"/>
      </w:pPr>
      <w:r>
        <w:t xml:space="preserve"/>
      </w:r>
    </w:p>
    <w:p>
      <w:pPr>
        <w:pBdr>
          <w:top w:val="single" w:color="E8ECF2" w:sz="4" w:space="8"/>
        </w:pBdr>
        <w:spacing w:before="400" w:after="80"/>
      </w:pPr>
      <w:r>
        <w:rPr>
          <w:rFonts w:ascii="Arial" w:cs="Arial" w:eastAsia="Arial" w:hAnsi="Arial"/>
          <w:b/>
          <w:bCs/>
          <w:color w:val="0F1E34"/>
          <w:sz w:val="20"/>
          <w:szCs w:val="20"/>
        </w:rPr>
        <w:t xml:space="preserve">Dokumentenhistorie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360"/>
        <w:gridCol w:w="2400"/>
      </w:tblGrid>
      <w:tr>
        <w:trPr>
          <w:tblHeader/>
        </w:trPr>
        <w:tc>
          <w:tcPr>
            <w:tcW w:type="dxa" w:w="10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Datum</w:t>
            </w:r>
          </w:p>
        </w:tc>
        <w:tc>
          <w:tcPr>
            <w:tcW w:type="dxa" w:w="436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Änderung</w:t>
            </w:r>
          </w:p>
        </w:tc>
        <w:tc>
          <w:tcPr>
            <w:tcW w:type="dxa" w:w="2400"/>
            <w:tcBorders>
              <w:top w:val="single" w:color="CCCCCC" w:sz="1"/>
              <w:left w:val="single" w:color="CCCCCC" w:sz="1"/>
              <w:bottom w:val="single" w:color="CCCCCC" w:sz="1"/>
              <w:right w:val="single" w:color="CCCCCC" w:sz="1"/>
            </w:tcBorders>
            <w:shd w:fill="0F1E34" w:val="clear"/>
            <w:tcMar>
              <w:top w:type="dxa" w:w="80"/>
              <w:left w:type="dxa" w:w="120"/>
              <w:bottom w:type="dxa" w:w="80"/>
              <w:right w:type="dxa" w:w="120"/>
            </w:tcMar>
          </w:tcPr>
          <w:p>
            <w:r>
              <w:rPr>
                <w:rFonts w:ascii="Arial" w:cs="Arial" w:eastAsia="Arial" w:hAnsi="Arial"/>
                <w:b/>
                <w:bCs/>
                <w:color w:val="FFFFFF"/>
                <w:sz w:val="20"/>
                <w:szCs w:val="20"/>
              </w:rPr>
              <w:t xml:space="preserve">Autor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März 2026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Initialdokument — Fachlogik-Basis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5Eyes / Claude</w:t>
            </w:r>
          </w:p>
        </w:tc>
      </w:tr>
      <w:tr>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1.1</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März 2026</w:t>
            </w:r>
          </w:p>
        </w:tc>
        <w:tc>
          <w:tcPr>
            <w:tcW w:type="dxa" w:w="4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Goal Engine (Kap. 2) neu; TBI-Kernaussage präzisiert; Vermögensverzehr als Cashflow-Input; Rang-System verankert</w:t>
            </w:r>
          </w:p>
        </w:tc>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5Eyes / Claude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März 2026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Kap. 1.2: Vermögenslogik Gesamtvermögen/Beratungsvermögen; 5 Regeln; Klumpenrisiko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5Eyes / Claude</w:t>
            </w:r>
          </w:p>
        </w:tc>
      </w:tr>
      <w:tr>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1.3</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März 2026</w:t>
            </w:r>
          </w:p>
        </w:tc>
        <w:tc>
          <w:tcPr>
            <w:tcW w:type="dxa" w:w="4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Kap. 1.2: Zwei-Dimensionen-Logik (Vermögen + Universum); Custom Asset Korrektur</w:t>
            </w:r>
          </w:p>
        </w:tc>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5Eyes / Claude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März 2026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Goal Engine 3 Zieltypen; Rang-Gewicht-Logik; Scoring-Formeln Entwurf; Verzehr als Cashflow; Kap. 6 Review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5Eyes / Claude</w:t>
            </w:r>
          </w:p>
        </w:tc>
      </w:tr>
      <w:tr>
        <w:tc>
          <w:tcPr>
            <w:tcW w:type="dxa" w:w="10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1.5</w:t>
            </w:r>
          </w:p>
        </w:tc>
        <w:tc>
          <w:tcPr>
            <w:tcW w:type="dxa" w:w="16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März 2026</w:t>
            </w:r>
          </w:p>
        </w:tc>
        <w:tc>
          <w:tcPr>
            <w:tcW w:type="dxa" w:w="436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SLAM Building Blocks; Kapitalmarktannahmen-Prozess; Produktliste Best-in-Class; Review-Logik</w:t>
            </w:r>
          </w:p>
        </w:tc>
        <w:tc>
          <w:tcPr>
            <w:tcW w:type="dxa" w:w="2400"/>
            <w:tcBorders>
              <w:top w:val="single" w:color="CCCCCC" w:sz="1"/>
              <w:left w:val="single" w:color="CCCCCC" w:sz="1"/>
              <w:bottom w:val="single" w:color="CCCCCC" w:sz="1"/>
              <w:right w:val="single" w:color="CCCCCC" w:sz="1"/>
            </w:tcBorders>
            <w:shd w:fill="F3F5F8" w:val="clear"/>
            <w:tcMar>
              <w:top w:type="dxa" w:w="60"/>
              <w:left w:type="dxa" w:w="120"/>
              <w:bottom w:type="dxa" w:w="60"/>
              <w:right w:type="dxa" w:w="120"/>
            </w:tcMar>
          </w:tcPr>
          <w:p>
            <w:r>
              <w:rPr>
                <w:rFonts w:ascii="Arial" w:cs="Arial" w:eastAsia="Arial" w:hAnsi="Arial"/>
                <w:b w:val="false"/>
                <w:bCs w:val="false"/>
                <w:color w:val="1a1a1a"/>
                <w:sz w:val="20"/>
                <w:szCs w:val="20"/>
              </w:rPr>
              <w:t xml:space="preserve">5Eyes / Claude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März 2026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Risikoprofilierung vollständig (Fragebogen, Punkteschema, Score-Formel, Mapping); Inflationspfad CH; Risk Score → Risky Fraction → Aktienquote Herleitung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5Eyes / Claude</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CF2" w:sz="4" w:space="4"/>
      </w:pBdr>
      <w:spacing w:before="80"/>
      <w:jc w:val="right"/>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spacing w:before="0" w:after="120"/>
    </w:pPr>
    <w:r>
      <w:rPr>
        <w:rFonts w:ascii="Arial" w:cs="Arial" w:eastAsia="Arial" w:hAnsi="Arial"/>
        <w:b/>
        <w:bCs/>
        <w:color w:val="0F1E34"/>
        <w:sz w:val="18"/>
        <w:szCs w:val="18"/>
      </w:rPr>
      <w:t xml:space="preserve">5EYES · WealthArchitekten</w:t>
    </w:r>
    <w:r>
      <w:rPr>
        <w:rFonts w:ascii="Arial" w:cs="Arial" w:eastAsia="Arial" w:hAnsi="Arial"/>
        <w:color w:val="888888"/>
        <w:sz w:val="18"/>
        <w:szCs w:val="18"/>
      </w:rPr>
      <w:t xml:space="preserve">   |   Fachlogik-Dokument v1.6   |   Vertraulich — Intern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1E34"/>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0F1E3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2026-03-17T16:24:54.589Z</dcterms:created>
  <dcterms:modified xsi:type="dcterms:W3CDTF">2026-03-17T16:24:54.591Z</dcterms:modified>
</cp:coreProperties>
</file>

<file path=docProps/custom.xml><?xml version="1.0" encoding="utf-8"?>
<Properties xmlns="http://schemas.openxmlformats.org/officeDocument/2006/custom-properties" xmlns:vt="http://schemas.openxmlformats.org/officeDocument/2006/docPropsVTypes"/>
</file>