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3A5F"/>
          <w:sz w:val="32"/>
        </w:rPr>
        <w:t>2026 TEKNOFEST SAĞLIKTA YAPAY ZEKÂ YARIŞMASI</w:t>
        <w:br/>
        <w:t>PROJE DETAY RAPORU</w:t>
      </w:r>
    </w:p>
    <w:p>
      <w:pPr>
        <w:jc w:val="center"/>
      </w:pPr>
      <w:r>
        <w:rPr>
          <w:i/>
          <w:sz w:val="20"/>
        </w:rPr>
        <w:t>Genetik Varyant Patojenisite Sınıflandırması — Üniversite ve Üzeri Seviyesi</w:t>
        <w:br/>
        <w:t>Birleşik Operasyon Noktası: Yığınlanmış Topluluk, eşik = 0.305</w:t>
      </w:r>
    </w:p>
    <w:p/>
    <w:p>
      <w:pPr>
        <w:pStyle w:val="Heading1"/>
      </w:pPr>
      <w:r>
        <w:rPr>
          <w:color w:val="1F3A5F"/>
        </w:rPr>
        <w:t>1. GİRİŞ</w:t>
      </w:r>
    </w:p>
    <w:p>
      <w:r>
        <w:t>Bu çalışma, ACMG kriterleri ve ClinVar/ClinGen veri tabanları temel alınarak etiketlenmiş genetik varyantların patojenisitesini, anonimleştirilmiş 353 sütunluk bir öznitelik şeması üzerinden tahmin eden, klinik güvenliği önceleyen bir makine öğrenmesi sistemi sunar. Görev, her varyantın Patojenik (1) veya Benign (0) olarak ikili sınıflandırılmasıdır; değerlendirme F1 Skoru ile yapılır. Sistem; genel (MASTER) ve üç gen-spesifik panel (Kalıtsal Kanser, Fenilketonüri/PAH, Kistik Fibrozis/CFTR) üzerinden değerlendirilmektedir.</w:t>
      </w:r>
    </w:p>
    <w:p>
      <w:pPr>
        <w:pStyle w:val="Heading2"/>
      </w:pPr>
      <w:r>
        <w:t>1.1 Veri Setleri ve Şema</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sz w:val="18"/>
              </w:rPr>
              <w:t>Veri Seti</w:t>
            </w:r>
          </w:p>
        </w:tc>
        <w:tc>
          <w:tcPr>
            <w:tcW w:type="dxa" w:w="2160"/>
          </w:tcPr>
          <w:p>
            <w:r>
              <w:rPr>
                <w:b/>
                <w:sz w:val="18"/>
              </w:rPr>
              <w:t>Satır</w:t>
            </w:r>
          </w:p>
        </w:tc>
        <w:tc>
          <w:tcPr>
            <w:tcW w:type="dxa" w:w="2160"/>
          </w:tcPr>
          <w:p>
            <w:r>
              <w:rPr>
                <w:b/>
                <w:sz w:val="18"/>
              </w:rPr>
              <w:t>Sütun</w:t>
            </w:r>
          </w:p>
        </w:tc>
        <w:tc>
          <w:tcPr>
            <w:tcW w:type="dxa" w:w="2160"/>
          </w:tcPr>
          <w:p>
            <w:r>
              <w:rPr>
                <w:b/>
                <w:sz w:val="18"/>
              </w:rPr>
              <w:t>Amaç</w:t>
            </w:r>
          </w:p>
        </w:tc>
      </w:tr>
      <w:tr>
        <w:tc>
          <w:tcPr>
            <w:tcW w:type="dxa" w:w="2160"/>
          </w:tcPr>
          <w:p>
            <w:r>
              <w:rPr>
                <w:sz w:val="18"/>
              </w:rPr>
              <w:t>MASTER (Genel)</w:t>
            </w:r>
          </w:p>
        </w:tc>
        <w:tc>
          <w:tcPr>
            <w:tcW w:type="dxa" w:w="2160"/>
          </w:tcPr>
          <w:p>
            <w:r>
              <w:rPr>
                <w:sz w:val="18"/>
              </w:rPr>
              <w:t>2931</w:t>
            </w:r>
          </w:p>
        </w:tc>
        <w:tc>
          <w:tcPr>
            <w:tcW w:type="dxa" w:w="2160"/>
          </w:tcPr>
          <w:p>
            <w:r>
              <w:rPr>
                <w:sz w:val="18"/>
              </w:rPr>
              <w:t>353</w:t>
            </w:r>
          </w:p>
        </w:tc>
        <w:tc>
          <w:tcPr>
            <w:tcW w:type="dxa" w:w="2160"/>
          </w:tcPr>
          <w:p>
            <w:r>
              <w:rPr>
                <w:sz w:val="18"/>
              </w:rPr>
              <w:t>Genel varyant sınıflandırma</w:t>
            </w:r>
          </w:p>
        </w:tc>
      </w:tr>
      <w:tr>
        <w:tc>
          <w:tcPr>
            <w:tcW w:type="dxa" w:w="2160"/>
          </w:tcPr>
          <w:p>
            <w:r>
              <w:rPr>
                <w:sz w:val="18"/>
              </w:rPr>
              <w:t>KANSER</w:t>
            </w:r>
          </w:p>
        </w:tc>
        <w:tc>
          <w:tcPr>
            <w:tcW w:type="dxa" w:w="2160"/>
          </w:tcPr>
          <w:p>
            <w:r>
              <w:rPr>
                <w:sz w:val="18"/>
              </w:rPr>
              <w:t>388</w:t>
            </w:r>
          </w:p>
        </w:tc>
        <w:tc>
          <w:tcPr>
            <w:tcW w:type="dxa" w:w="2160"/>
          </w:tcPr>
          <w:p>
            <w:r>
              <w:rPr>
                <w:sz w:val="18"/>
              </w:rPr>
              <w:t>353</w:t>
            </w:r>
          </w:p>
        </w:tc>
        <w:tc>
          <w:tcPr>
            <w:tcW w:type="dxa" w:w="2160"/>
          </w:tcPr>
          <w:p>
            <w:r>
              <w:rPr>
                <w:sz w:val="18"/>
              </w:rPr>
              <w:t>Kalıtsal kanser gen paneli</w:t>
            </w:r>
          </w:p>
        </w:tc>
      </w:tr>
      <w:tr>
        <w:tc>
          <w:tcPr>
            <w:tcW w:type="dxa" w:w="2160"/>
          </w:tcPr>
          <w:p>
            <w:r>
              <w:rPr>
                <w:sz w:val="18"/>
              </w:rPr>
              <w:t>PAH</w:t>
            </w:r>
          </w:p>
        </w:tc>
        <w:tc>
          <w:tcPr>
            <w:tcW w:type="dxa" w:w="2160"/>
          </w:tcPr>
          <w:p>
            <w:r>
              <w:rPr>
                <w:sz w:val="18"/>
              </w:rPr>
              <w:t>372</w:t>
            </w:r>
          </w:p>
        </w:tc>
        <w:tc>
          <w:tcPr>
            <w:tcW w:type="dxa" w:w="2160"/>
          </w:tcPr>
          <w:p>
            <w:r>
              <w:rPr>
                <w:sz w:val="18"/>
              </w:rPr>
              <w:t>353</w:t>
            </w:r>
          </w:p>
        </w:tc>
        <w:tc>
          <w:tcPr>
            <w:tcW w:type="dxa" w:w="2160"/>
          </w:tcPr>
          <w:p>
            <w:r>
              <w:rPr>
                <w:sz w:val="18"/>
              </w:rPr>
              <w:t>Fenilketonüri gen paneli</w:t>
            </w:r>
          </w:p>
        </w:tc>
      </w:tr>
      <w:tr>
        <w:tc>
          <w:tcPr>
            <w:tcW w:type="dxa" w:w="2160"/>
          </w:tcPr>
          <w:p>
            <w:r>
              <w:rPr>
                <w:sz w:val="18"/>
              </w:rPr>
              <w:t>CFTR</w:t>
            </w:r>
          </w:p>
        </w:tc>
        <w:tc>
          <w:tcPr>
            <w:tcW w:type="dxa" w:w="2160"/>
          </w:tcPr>
          <w:p>
            <w:r>
              <w:rPr>
                <w:sz w:val="18"/>
              </w:rPr>
              <w:t>111</w:t>
            </w:r>
          </w:p>
        </w:tc>
        <w:tc>
          <w:tcPr>
            <w:tcW w:type="dxa" w:w="2160"/>
          </w:tcPr>
          <w:p>
            <w:r>
              <w:rPr>
                <w:sz w:val="18"/>
              </w:rPr>
              <w:t>353</w:t>
            </w:r>
          </w:p>
        </w:tc>
        <w:tc>
          <w:tcPr>
            <w:tcW w:type="dxa" w:w="2160"/>
          </w:tcPr>
          <w:p>
            <w:r>
              <w:rPr>
                <w:sz w:val="18"/>
              </w:rPr>
              <w:t>Kistik fibrozis gen paneli</w:t>
            </w:r>
          </w:p>
        </w:tc>
      </w:tr>
    </w:tbl>
    <w:p/>
    <w:p>
      <w:r>
        <w:t>Öznitelik grupları: AL_1–AL_334 (334 sayısal skor), EK_1–EK_9 (9 birleşik/meta-tahmin skoru), CAT_1–CAT_6 (6 kategorik), AA_1–AA_2 (2 amino asit), Variant_ID ve Label.</w:t>
      </w:r>
    </w:p>
    <w:p>
      <w:pPr>
        <w:pStyle w:val="Heading2"/>
      </w:pPr>
      <w:r>
        <w:t>1.2 Veri Kalitesi: Eksiklik ve Dengesizlik</w:t>
      </w:r>
    </w:p>
    <w:p>
      <w:r>
        <w:t>MASTER hücrelerinin %54.9'u eksiktir ve eksiklik rastgele değildir (MNAR): patojenik varyantlarda eksiklik %59.9, benign varyantlarda %41.2'dir; dolayısıyla eksikliğin kendisi etiket için ayırt edici bilgi taşır. Eğitim setleri patojenik sınıf lehine dengesizdir (MASTER 2.75:1, KANSER 2.23:1, PAH 5.00:1, CFTR 4.29:1); buna karşın test setleri dengelidir (1:1). Bu dağılım uyumsuzluğu, eşik kalibrasyonunun dengeli dağılıma göre yapılmasını zorunlu kılar (bkz. Bölüm 2.3).</w:t>
      </w:r>
    </w:p>
    <w:p>
      <w:pPr>
        <w:pStyle w:val="Heading1"/>
      </w:pPr>
      <w:r>
        <w:rPr>
          <w:color w:val="1F3A5F"/>
        </w:rPr>
        <w:t>2. YÖNTEM</w:t>
      </w:r>
    </w:p>
    <w:p>
      <w:pPr>
        <w:pStyle w:val="Heading2"/>
      </w:pPr>
      <w:r>
        <w:t>2.1 Eksiklik-Farkında Özellik Mühendisliği</w:t>
      </w:r>
    </w:p>
    <w:p>
      <w:r>
        <w:t>MNAR yapısı nedeniyle impütasyon uygulanmamış, eksiklik bir sinyal olarak modellenmiştir: Variant_ID ve 57 sabit sütun elenmiş; her sayısal öznitelik için ikili eksiklik göstergesi (miss_*), satır düzeyi toplam eksiklik oranı ve grup düzeyi (AL alt-blokları, EK) eksiklik sayaçları eklenmiştir. Kategorik öznitelikler tipine göre one-hot / etiket kodlama / ikili bayrak ile kodlanmıştır. Ağaç tabanlı modeller eksik değerleri doğal olarak işlediğinden NaN değerleri korunmuş; SMOTE veya yapay örnekleme biyolojik anlamsızlığı nedeniyle kullanılmamıştır. Nihai matris 655 öznitelik içerir.</w:t>
      </w:r>
    </w:p>
    <w:p>
      <w:pPr>
        <w:pStyle w:val="Heading2"/>
      </w:pPr>
      <w:r>
        <w:t>2.2 Model Mimarisi: Küresel Topluluk ve Yığınlama</w:t>
      </w:r>
    </w:p>
    <w:p>
      <w:r>
        <w:t>MASTER üzerinde eğitilen tek bir küresel topluluk benimsenmiştir: LightGBM (is_unbalance), XGBoost (scale_pos_weight) ve CatBoost (Balanced sınıf ağırlıkları). Üç modelin örneklem-dışı (OOF) olasılıkları bir Lojistik Regresyon meta-öğrenicisi ile yığınlanır. Meta-öğrenici katsayıları (LightGBM 1.47, XGBoost 1.29, CatBoost 2.92) CatBoost'un en yüksek katkıyı sağladığını gösterir. Tüm aşamalarda sabit tohum (seed=42) ve özdeş 5-katlı StratifiedKFold bölünmeleri kullanılarak yeniden üretilebilirlik ve sızıntısız panel değerlendirmesi sağlanır.</w:t>
      </w:r>
    </w:p>
    <w:p>
      <w:pPr>
        <w:pStyle w:val="Heading2"/>
      </w:pPr>
      <w:r>
        <w:t>2.3 Klinik Maliyetli Eşik Kalibrasyonu ve Operasyon Noktası</w:t>
      </w:r>
    </w:p>
    <w:p>
      <w:r>
        <w:t>Eğitim dengesiz, test dengeli (1:1) olduğundan eşik yalnızca OOF tahminleri üzerinde ve 1:1 öncül varsayımıyla kalibre edilmiştir. Patojenik bir varyantı kaçırmanın (yanlış negatif) klinik maliyeti yanlış alarmdan yüksek olduğundan, maliyet oranı YN:YP = 2:1 alınmış ve beklenen maliyeti (2·YN + 1·YP) en aza indiren eşik seçilmiştir. İç tutarlılık için, dağıtılan nihai model olan yığınlanmış topluluğun kalibre eşiği 0.305 tüm panel ve kohortlarda tek operasyon noktası olarak benimsenmiştir.</w:t>
      </w:r>
    </w:p>
    <w:p>
      <w:pPr>
        <w:pStyle w:val="Heading1"/>
      </w:pPr>
      <w:r>
        <w:rPr>
          <w:color w:val="1F3A5F"/>
        </w:rPr>
        <w:t>3. BULGULAR</w:t>
      </w:r>
    </w:p>
    <w:p>
      <w:pPr>
        <w:pStyle w:val="Heading2"/>
      </w:pPr>
      <w:r>
        <w:t>3.1 Çapraz Doğrulama ve Topluluk Performansı</w:t>
      </w:r>
    </w:p>
    <w:tbl>
      <w:tblPr>
        <w:tblStyle w:val="LightGrid-Accent1"/>
        <w:tblW w:type="auto" w:w="0"/>
        <w:tblLook w:firstColumn="1" w:firstRow="1" w:lastColumn="0" w:lastRow="0" w:noHBand="0" w:noVBand="1" w:val="04A0"/>
      </w:tblPr>
      <w:tblGrid>
        <w:gridCol w:w="4320"/>
        <w:gridCol w:w="4320"/>
      </w:tblGrid>
      <w:tr>
        <w:tc>
          <w:tcPr>
            <w:tcW w:type="dxa" w:w="4320"/>
          </w:tcPr>
          <w:p>
            <w:r>
              <w:rPr>
                <w:b/>
                <w:sz w:val="18"/>
              </w:rPr>
              <w:t>Model</w:t>
            </w:r>
          </w:p>
        </w:tc>
        <w:tc>
          <w:tcPr>
            <w:tcW w:type="dxa" w:w="4320"/>
          </w:tcPr>
          <w:p>
            <w:r>
              <w:rPr>
                <w:b/>
                <w:sz w:val="18"/>
              </w:rPr>
              <w:t>OOF ROC-AUC</w:t>
            </w:r>
          </w:p>
        </w:tc>
      </w:tr>
      <w:tr>
        <w:tc>
          <w:tcPr>
            <w:tcW w:type="dxa" w:w="4320"/>
          </w:tcPr>
          <w:p>
            <w:r>
              <w:rPr>
                <w:sz w:val="18"/>
              </w:rPr>
              <w:t>LightGBM</w:t>
            </w:r>
          </w:p>
        </w:tc>
        <w:tc>
          <w:tcPr>
            <w:tcW w:type="dxa" w:w="4320"/>
          </w:tcPr>
          <w:p>
            <w:r>
              <w:rPr>
                <w:sz w:val="18"/>
              </w:rPr>
              <w:t>0.8461</w:t>
            </w:r>
          </w:p>
        </w:tc>
      </w:tr>
      <w:tr>
        <w:tc>
          <w:tcPr>
            <w:tcW w:type="dxa" w:w="4320"/>
          </w:tcPr>
          <w:p>
            <w:r>
              <w:rPr>
                <w:sz w:val="18"/>
              </w:rPr>
              <w:t>XGBoost</w:t>
            </w:r>
          </w:p>
        </w:tc>
        <w:tc>
          <w:tcPr>
            <w:tcW w:type="dxa" w:w="4320"/>
          </w:tcPr>
          <w:p>
            <w:r>
              <w:rPr>
                <w:sz w:val="18"/>
              </w:rPr>
              <w:t>0.8491</w:t>
            </w:r>
          </w:p>
        </w:tc>
      </w:tr>
      <w:tr>
        <w:tc>
          <w:tcPr>
            <w:tcW w:type="dxa" w:w="4320"/>
          </w:tcPr>
          <w:p>
            <w:r>
              <w:rPr>
                <w:sz w:val="18"/>
              </w:rPr>
              <w:t>CatBoost</w:t>
            </w:r>
          </w:p>
        </w:tc>
        <w:tc>
          <w:tcPr>
            <w:tcW w:type="dxa" w:w="4320"/>
          </w:tcPr>
          <w:p>
            <w:r>
              <w:rPr>
                <w:sz w:val="18"/>
              </w:rPr>
              <w:t>0.8538</w:t>
            </w:r>
          </w:p>
        </w:tc>
      </w:tr>
      <w:tr>
        <w:tc>
          <w:tcPr>
            <w:tcW w:type="dxa" w:w="4320"/>
          </w:tcPr>
          <w:p>
            <w:r>
              <w:rPr>
                <w:sz w:val="18"/>
              </w:rPr>
              <w:t>Yığınlanmış Topluluk</w:t>
            </w:r>
          </w:p>
        </w:tc>
        <w:tc>
          <w:tcPr>
            <w:tcW w:type="dxa" w:w="4320"/>
          </w:tcPr>
          <w:p>
            <w:r>
              <w:rPr>
                <w:sz w:val="18"/>
              </w:rPr>
              <w:t>0.8581</w:t>
            </w:r>
          </w:p>
        </w:tc>
      </w:tr>
    </w:tbl>
    <w:p/>
    <w:p>
      <w:r>
        <w:t>Yığınlanmış topluluk MASTER üzerinde 0.305 eşiğinde ROC-AUC 0.8581, PR-AUC 0.9302, dengeli F1 0.7974, duyarlılık 0.9055, özgüllük 0.6343 ve MCC 0.5602 elde etmiştir.</w:t>
      </w:r>
    </w:p>
    <w:p>
      <w:pPr>
        <w:pStyle w:val="Heading2"/>
      </w:pPr>
      <w:r>
        <w:t>3.2 Panel Bazlı Performans (Sızıntı-Farkında, eşik = 0.305)</w:t>
      </w:r>
    </w:p>
    <w:tbl>
      <w:tblPr>
        <w:tblStyle w:val="LightGrid-Accent1"/>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sz w:val="18"/>
              </w:rPr>
              <w:t>Panel</w:t>
            </w:r>
          </w:p>
        </w:tc>
        <w:tc>
          <w:tcPr>
            <w:tcW w:type="dxa" w:w="1234"/>
          </w:tcPr>
          <w:p>
            <w:r>
              <w:rPr>
                <w:b/>
                <w:sz w:val="18"/>
              </w:rPr>
              <w:t>n</w:t>
            </w:r>
          </w:p>
        </w:tc>
        <w:tc>
          <w:tcPr>
            <w:tcW w:type="dxa" w:w="1234"/>
          </w:tcPr>
          <w:p>
            <w:r>
              <w:rPr>
                <w:b/>
                <w:sz w:val="18"/>
              </w:rPr>
              <w:t>ROC-AUC</w:t>
            </w:r>
          </w:p>
        </w:tc>
        <w:tc>
          <w:tcPr>
            <w:tcW w:type="dxa" w:w="1234"/>
          </w:tcPr>
          <w:p>
            <w:r>
              <w:rPr>
                <w:b/>
                <w:sz w:val="18"/>
              </w:rPr>
              <w:t>Dengeli F1</w:t>
            </w:r>
          </w:p>
        </w:tc>
        <w:tc>
          <w:tcPr>
            <w:tcW w:type="dxa" w:w="1234"/>
          </w:tcPr>
          <w:p>
            <w:r>
              <w:rPr>
                <w:b/>
                <w:sz w:val="18"/>
              </w:rPr>
              <w:t>Duyarlılık</w:t>
            </w:r>
          </w:p>
        </w:tc>
        <w:tc>
          <w:tcPr>
            <w:tcW w:type="dxa" w:w="1234"/>
          </w:tcPr>
          <w:p>
            <w:r>
              <w:rPr>
                <w:b/>
                <w:sz w:val="18"/>
              </w:rPr>
              <w:t>Özgüllük</w:t>
            </w:r>
          </w:p>
        </w:tc>
        <w:tc>
          <w:tcPr>
            <w:tcW w:type="dxa" w:w="1234"/>
          </w:tcPr>
          <w:p>
            <w:r>
              <w:rPr>
                <w:b/>
                <w:sz w:val="18"/>
              </w:rPr>
              <w:t>MCC</w:t>
            </w:r>
          </w:p>
        </w:tc>
      </w:tr>
      <w:tr>
        <w:tc>
          <w:tcPr>
            <w:tcW w:type="dxa" w:w="1234"/>
          </w:tcPr>
          <w:p>
            <w:r>
              <w:rPr>
                <w:sz w:val="18"/>
              </w:rPr>
              <w:t>CFTR</w:t>
            </w:r>
          </w:p>
        </w:tc>
        <w:tc>
          <w:tcPr>
            <w:tcW w:type="dxa" w:w="1234"/>
          </w:tcPr>
          <w:p>
            <w:r>
              <w:rPr>
                <w:sz w:val="18"/>
              </w:rPr>
              <w:t>111</w:t>
            </w:r>
          </w:p>
        </w:tc>
        <w:tc>
          <w:tcPr>
            <w:tcW w:type="dxa" w:w="1234"/>
          </w:tcPr>
          <w:p>
            <w:r>
              <w:rPr>
                <w:sz w:val="18"/>
              </w:rPr>
              <w:t>0.9545</w:t>
            </w:r>
          </w:p>
        </w:tc>
        <w:tc>
          <w:tcPr>
            <w:tcW w:type="dxa" w:w="1234"/>
          </w:tcPr>
          <w:p>
            <w:r>
              <w:rPr>
                <w:sz w:val="18"/>
              </w:rPr>
              <w:t>0.8811</w:t>
            </w:r>
          </w:p>
        </w:tc>
        <w:tc>
          <w:tcPr>
            <w:tcW w:type="dxa" w:w="1234"/>
          </w:tcPr>
          <w:p>
            <w:r>
              <w:rPr>
                <w:sz w:val="18"/>
              </w:rPr>
              <w:t>0.9000</w:t>
            </w:r>
          </w:p>
        </w:tc>
        <w:tc>
          <w:tcPr>
            <w:tcW w:type="dxa" w:w="1234"/>
          </w:tcPr>
          <w:p>
            <w:r>
              <w:rPr>
                <w:sz w:val="18"/>
              </w:rPr>
              <w:t>0.8571</w:t>
            </w:r>
          </w:p>
        </w:tc>
        <w:tc>
          <w:tcPr>
            <w:tcW w:type="dxa" w:w="1234"/>
          </w:tcPr>
          <w:p>
            <w:r>
              <w:rPr>
                <w:sz w:val="18"/>
              </w:rPr>
              <w:t>0.6912</w:t>
            </w:r>
          </w:p>
        </w:tc>
      </w:tr>
      <w:tr>
        <w:tc>
          <w:tcPr>
            <w:tcW w:type="dxa" w:w="1234"/>
          </w:tcPr>
          <w:p>
            <w:r>
              <w:rPr>
                <w:sz w:val="18"/>
              </w:rPr>
              <w:t>KANSER</w:t>
            </w:r>
          </w:p>
        </w:tc>
        <w:tc>
          <w:tcPr>
            <w:tcW w:type="dxa" w:w="1234"/>
          </w:tcPr>
          <w:p>
            <w:r>
              <w:rPr>
                <w:sz w:val="18"/>
              </w:rPr>
              <w:t>388</w:t>
            </w:r>
          </w:p>
        </w:tc>
        <w:tc>
          <w:tcPr>
            <w:tcW w:type="dxa" w:w="1234"/>
          </w:tcPr>
          <w:p>
            <w:r>
              <w:rPr>
                <w:sz w:val="18"/>
              </w:rPr>
              <w:t>0.9232</w:t>
            </w:r>
          </w:p>
        </w:tc>
        <w:tc>
          <w:tcPr>
            <w:tcW w:type="dxa" w:w="1234"/>
          </w:tcPr>
          <w:p>
            <w:r>
              <w:rPr>
                <w:sz w:val="18"/>
              </w:rPr>
              <w:t>0.8423</w:t>
            </w:r>
          </w:p>
        </w:tc>
        <w:tc>
          <w:tcPr>
            <w:tcW w:type="dxa" w:w="1234"/>
          </w:tcPr>
          <w:p>
            <w:r>
              <w:rPr>
                <w:sz w:val="18"/>
              </w:rPr>
              <w:t>0.9701</w:t>
            </w:r>
          </w:p>
        </w:tc>
        <w:tc>
          <w:tcPr>
            <w:tcW w:type="dxa" w:w="1234"/>
          </w:tcPr>
          <w:p>
            <w:r>
              <w:rPr>
                <w:sz w:val="18"/>
              </w:rPr>
              <w:t>0.6667</w:t>
            </w:r>
          </w:p>
        </w:tc>
        <w:tc>
          <w:tcPr>
            <w:tcW w:type="dxa" w:w="1234"/>
          </w:tcPr>
          <w:p>
            <w:r>
              <w:rPr>
                <w:sz w:val="18"/>
              </w:rPr>
              <w:t>0.7029</w:t>
            </w:r>
          </w:p>
        </w:tc>
      </w:tr>
      <w:tr>
        <w:tc>
          <w:tcPr>
            <w:tcW w:type="dxa" w:w="1234"/>
          </w:tcPr>
          <w:p>
            <w:r>
              <w:rPr>
                <w:sz w:val="18"/>
              </w:rPr>
              <w:t>PAH</w:t>
            </w:r>
          </w:p>
        </w:tc>
        <w:tc>
          <w:tcPr>
            <w:tcW w:type="dxa" w:w="1234"/>
          </w:tcPr>
          <w:p>
            <w:r>
              <w:rPr>
                <w:sz w:val="18"/>
              </w:rPr>
              <w:t>372</w:t>
            </w:r>
          </w:p>
        </w:tc>
        <w:tc>
          <w:tcPr>
            <w:tcW w:type="dxa" w:w="1234"/>
          </w:tcPr>
          <w:p>
            <w:r>
              <w:rPr>
                <w:sz w:val="18"/>
              </w:rPr>
              <w:t>0.7935</w:t>
            </w:r>
          </w:p>
        </w:tc>
        <w:tc>
          <w:tcPr>
            <w:tcW w:type="dxa" w:w="1234"/>
          </w:tcPr>
          <w:p>
            <w:r>
              <w:rPr>
                <w:sz w:val="18"/>
              </w:rPr>
              <w:t>0.7567</w:t>
            </w:r>
          </w:p>
        </w:tc>
        <w:tc>
          <w:tcPr>
            <w:tcW w:type="dxa" w:w="1234"/>
          </w:tcPr>
          <w:p>
            <w:r>
              <w:rPr>
                <w:sz w:val="18"/>
              </w:rPr>
              <w:t>0.9129</w:t>
            </w:r>
          </w:p>
        </w:tc>
        <w:tc>
          <w:tcPr>
            <w:tcW w:type="dxa" w:w="1234"/>
          </w:tcPr>
          <w:p>
            <w:r>
              <w:rPr>
                <w:sz w:val="18"/>
              </w:rPr>
              <w:t>0.5000</w:t>
            </w:r>
          </w:p>
        </w:tc>
        <w:tc>
          <w:tcPr>
            <w:tcW w:type="dxa" w:w="1234"/>
          </w:tcPr>
          <w:p>
            <w:r>
              <w:rPr>
                <w:sz w:val="18"/>
              </w:rPr>
              <w:t>0.4242</w:t>
            </w:r>
          </w:p>
        </w:tc>
      </w:tr>
    </w:tbl>
    <w:p/>
    <w:p>
      <w:r>
        <w:t>Paylaşılan varyantlar için örneklem-dışı (OOF) olasılıklar, panele özgü varyantlar için dondurulmuş topluluk kullanılmıştır. Yığınlama tekil LightGBM'e kıyasla her panelde ROC-AUC iyileşmesi sağlamıştır (CFTR 0.9402→0.9545, KANSER 0.9141→0.9232, PAH 0.7720→0.7935).</w:t>
      </w:r>
    </w:p>
    <w:p>
      <w:pPr>
        <w:pStyle w:val="Heading2"/>
      </w:pPr>
      <w:r>
        <w:t>3.3 Yanlış Pozitif ve Yanlış Negatif Sonuçların Klinik Analizi</w:t>
      </w:r>
    </w:p>
    <w:p>
      <w:r>
        <w:t>0.305 operasyon noktasında MASTER örneklem-dışı tahminlerinde 286 yanlış pozitif (YP) ve 203 yanlış negatif (YN) gözlenmiştir (YN:YP = 0.71). YP'nin YN'yi aşması, modelin 2:1 maliyet politikası gereği bilinçli olarak duyarlılık lehine yanlılaştırıldığını doğrular. Hataların başlıca biyolojik sürücüsü baskın EK_7 sinyalindeki çelişkidir: doğru sınıflandırılan varyantlarda ortalama EK_7 6.093 iken kaçırılan patojeniklerde (YN) 3.131'e düşmektedir; yani model, atipik biçimde düşük birleşik hasar skoru taşıyan gerçek patojenikleri kaçırma eğilimindedir. Yanlış pozitiflerde EK_7 ortalaması (5.793) doğru sınıfa yakındır; yükselmiş hasar skoru taşıyan benign varyantlar yanlış alarma yol açar. İstatistiksel olarak hatalar eksiklik bandlarına göre çift-modlu dağılır: en yüksek mutlak hata ve YN yoğunluğu %75–100 eksiklik bandındadır (seyrek anotasyon → patojenik kaçırma), buna karşın iyi anote edilmiş %0–25 bandındaki hatalar sınır-değer varyantların doğasından kaynaklanır. PAH panelinin zorluğu MASTER örtüşmesinde değil, panele özgü varyantlardaki düşük özgüllükte (0.5000) tezahür etmektedir.</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sz w:val="18"/>
              </w:rPr>
              <w:t>Eksiklik Bandı</w:t>
            </w:r>
          </w:p>
        </w:tc>
        <w:tc>
          <w:tcPr>
            <w:tcW w:type="dxa" w:w="1440"/>
          </w:tcPr>
          <w:p>
            <w:r>
              <w:rPr>
                <w:b/>
                <w:sz w:val="18"/>
              </w:rPr>
              <w:t>n</w:t>
            </w:r>
          </w:p>
        </w:tc>
        <w:tc>
          <w:tcPr>
            <w:tcW w:type="dxa" w:w="1440"/>
          </w:tcPr>
          <w:p>
            <w:r>
              <w:rPr>
                <w:b/>
                <w:sz w:val="18"/>
              </w:rPr>
              <w:t>Hata</w:t>
            </w:r>
          </w:p>
        </w:tc>
        <w:tc>
          <w:tcPr>
            <w:tcW w:type="dxa" w:w="1440"/>
          </w:tcPr>
          <w:p>
            <w:r>
              <w:rPr>
                <w:b/>
                <w:sz w:val="18"/>
              </w:rPr>
              <w:t>Hata Oranı</w:t>
            </w:r>
          </w:p>
        </w:tc>
        <w:tc>
          <w:tcPr>
            <w:tcW w:type="dxa" w:w="1440"/>
          </w:tcPr>
          <w:p>
            <w:r>
              <w:rPr>
                <w:b/>
                <w:sz w:val="18"/>
              </w:rPr>
              <w:t>YP</w:t>
            </w:r>
          </w:p>
        </w:tc>
        <w:tc>
          <w:tcPr>
            <w:tcW w:type="dxa" w:w="1440"/>
          </w:tcPr>
          <w:p>
            <w:r>
              <w:rPr>
                <w:b/>
                <w:sz w:val="18"/>
              </w:rPr>
              <w:t>YN</w:t>
            </w:r>
          </w:p>
        </w:tc>
      </w:tr>
      <w:tr>
        <w:tc>
          <w:tcPr>
            <w:tcW w:type="dxa" w:w="1440"/>
          </w:tcPr>
          <w:p>
            <w:r>
              <w:rPr>
                <w:sz w:val="18"/>
              </w:rPr>
              <w:t>0-25%</w:t>
            </w:r>
          </w:p>
        </w:tc>
        <w:tc>
          <w:tcPr>
            <w:tcW w:type="dxa" w:w="1440"/>
          </w:tcPr>
          <w:p>
            <w:r>
              <w:rPr>
                <w:sz w:val="18"/>
              </w:rPr>
              <w:t>921</w:t>
            </w:r>
          </w:p>
        </w:tc>
        <w:tc>
          <w:tcPr>
            <w:tcW w:type="dxa" w:w="1440"/>
          </w:tcPr>
          <w:p>
            <w:r>
              <w:rPr>
                <w:sz w:val="18"/>
              </w:rPr>
              <w:t>187</w:t>
            </w:r>
          </w:p>
        </w:tc>
        <w:tc>
          <w:tcPr>
            <w:tcW w:type="dxa" w:w="1440"/>
          </w:tcPr>
          <w:p>
            <w:r>
              <w:rPr>
                <w:sz w:val="18"/>
              </w:rPr>
              <w:t>0.2030</w:t>
            </w:r>
          </w:p>
        </w:tc>
        <w:tc>
          <w:tcPr>
            <w:tcW w:type="dxa" w:w="1440"/>
          </w:tcPr>
          <w:p>
            <w:r>
              <w:rPr>
                <w:sz w:val="18"/>
              </w:rPr>
              <w:t>97</w:t>
            </w:r>
          </w:p>
        </w:tc>
        <w:tc>
          <w:tcPr>
            <w:tcW w:type="dxa" w:w="1440"/>
          </w:tcPr>
          <w:p>
            <w:r>
              <w:rPr>
                <w:sz w:val="18"/>
              </w:rPr>
              <w:t>90</w:t>
            </w:r>
          </w:p>
        </w:tc>
      </w:tr>
      <w:tr>
        <w:tc>
          <w:tcPr>
            <w:tcW w:type="dxa" w:w="1440"/>
          </w:tcPr>
          <w:p>
            <w:r>
              <w:rPr>
                <w:sz w:val="18"/>
              </w:rPr>
              <w:t>25-50%</w:t>
            </w:r>
          </w:p>
        </w:tc>
        <w:tc>
          <w:tcPr>
            <w:tcW w:type="dxa" w:w="1440"/>
          </w:tcPr>
          <w:p>
            <w:r>
              <w:rPr>
                <w:sz w:val="18"/>
              </w:rPr>
              <w:t>260</w:t>
            </w:r>
          </w:p>
        </w:tc>
        <w:tc>
          <w:tcPr>
            <w:tcW w:type="dxa" w:w="1440"/>
          </w:tcPr>
          <w:p>
            <w:r>
              <w:rPr>
                <w:sz w:val="18"/>
              </w:rPr>
              <w:t>37</w:t>
            </w:r>
          </w:p>
        </w:tc>
        <w:tc>
          <w:tcPr>
            <w:tcW w:type="dxa" w:w="1440"/>
          </w:tcPr>
          <w:p>
            <w:r>
              <w:rPr>
                <w:sz w:val="18"/>
              </w:rPr>
              <w:t>0.1423</w:t>
            </w:r>
          </w:p>
        </w:tc>
        <w:tc>
          <w:tcPr>
            <w:tcW w:type="dxa" w:w="1440"/>
          </w:tcPr>
          <w:p>
            <w:r>
              <w:rPr>
                <w:sz w:val="18"/>
              </w:rPr>
              <w:t>31</w:t>
            </w:r>
          </w:p>
        </w:tc>
        <w:tc>
          <w:tcPr>
            <w:tcW w:type="dxa" w:w="1440"/>
          </w:tcPr>
          <w:p>
            <w:r>
              <w:rPr>
                <w:sz w:val="18"/>
              </w:rPr>
              <w:t>6</w:t>
            </w:r>
          </w:p>
        </w:tc>
      </w:tr>
      <w:tr>
        <w:tc>
          <w:tcPr>
            <w:tcW w:type="dxa" w:w="1440"/>
          </w:tcPr>
          <w:p>
            <w:r>
              <w:rPr>
                <w:sz w:val="18"/>
              </w:rPr>
              <w:t>50-75%</w:t>
            </w:r>
          </w:p>
        </w:tc>
        <w:tc>
          <w:tcPr>
            <w:tcW w:type="dxa" w:w="1440"/>
          </w:tcPr>
          <w:p>
            <w:r>
              <w:rPr>
                <w:sz w:val="18"/>
              </w:rPr>
              <w:t>429</w:t>
            </w:r>
          </w:p>
        </w:tc>
        <w:tc>
          <w:tcPr>
            <w:tcW w:type="dxa" w:w="1440"/>
          </w:tcPr>
          <w:p>
            <w:r>
              <w:rPr>
                <w:sz w:val="18"/>
              </w:rPr>
              <w:t>51</w:t>
            </w:r>
          </w:p>
        </w:tc>
        <w:tc>
          <w:tcPr>
            <w:tcW w:type="dxa" w:w="1440"/>
          </w:tcPr>
          <w:p>
            <w:r>
              <w:rPr>
                <w:sz w:val="18"/>
              </w:rPr>
              <w:t>0.1189</w:t>
            </w:r>
          </w:p>
        </w:tc>
        <w:tc>
          <w:tcPr>
            <w:tcW w:type="dxa" w:w="1440"/>
          </w:tcPr>
          <w:p>
            <w:r>
              <w:rPr>
                <w:sz w:val="18"/>
              </w:rPr>
              <w:t>46</w:t>
            </w:r>
          </w:p>
        </w:tc>
        <w:tc>
          <w:tcPr>
            <w:tcW w:type="dxa" w:w="1440"/>
          </w:tcPr>
          <w:p>
            <w:r>
              <w:rPr>
                <w:sz w:val="18"/>
              </w:rPr>
              <w:t>5</w:t>
            </w:r>
          </w:p>
        </w:tc>
      </w:tr>
      <w:tr>
        <w:tc>
          <w:tcPr>
            <w:tcW w:type="dxa" w:w="1440"/>
          </w:tcPr>
          <w:p>
            <w:r>
              <w:rPr>
                <w:sz w:val="18"/>
              </w:rPr>
              <w:t>75-100%</w:t>
            </w:r>
          </w:p>
        </w:tc>
        <w:tc>
          <w:tcPr>
            <w:tcW w:type="dxa" w:w="1440"/>
          </w:tcPr>
          <w:p>
            <w:r>
              <w:rPr>
                <w:sz w:val="18"/>
              </w:rPr>
              <w:t>1321</w:t>
            </w:r>
          </w:p>
        </w:tc>
        <w:tc>
          <w:tcPr>
            <w:tcW w:type="dxa" w:w="1440"/>
          </w:tcPr>
          <w:p>
            <w:r>
              <w:rPr>
                <w:sz w:val="18"/>
              </w:rPr>
              <w:t>214</w:t>
            </w:r>
          </w:p>
        </w:tc>
        <w:tc>
          <w:tcPr>
            <w:tcW w:type="dxa" w:w="1440"/>
          </w:tcPr>
          <w:p>
            <w:r>
              <w:rPr>
                <w:sz w:val="18"/>
              </w:rPr>
              <w:t>0.1620</w:t>
            </w:r>
          </w:p>
        </w:tc>
        <w:tc>
          <w:tcPr>
            <w:tcW w:type="dxa" w:w="1440"/>
          </w:tcPr>
          <w:p>
            <w:r>
              <w:rPr>
                <w:sz w:val="18"/>
              </w:rPr>
              <w:t>112</w:t>
            </w:r>
          </w:p>
        </w:tc>
        <w:tc>
          <w:tcPr>
            <w:tcW w:type="dxa" w:w="1440"/>
          </w:tcPr>
          <w:p>
            <w:r>
              <w:rPr>
                <w:sz w:val="18"/>
              </w:rPr>
              <w:t>102</w:t>
            </w:r>
          </w:p>
        </w:tc>
      </w:tr>
    </w:tbl>
    <w:p/>
    <w:p>
      <w:pPr>
        <w:pStyle w:val="Heading2"/>
      </w:pPr>
      <w:r>
        <w:t>3.4 EK Ablasyonu ile Veri Sızıntısı Savunması</w:t>
      </w:r>
    </w:p>
    <w:tbl>
      <w:tblPr>
        <w:tblStyle w:val="LightGrid-Accent1"/>
        <w:tblW w:type="auto" w:w="0"/>
        <w:tblLook w:firstColumn="1" w:firstRow="1" w:lastColumn="0" w:lastRow="0" w:noHBand="0" w:noVBand="1" w:val="04A0"/>
      </w:tblPr>
      <w:tblGrid>
        <w:gridCol w:w="4320"/>
        <w:gridCol w:w="4320"/>
      </w:tblGrid>
      <w:tr>
        <w:tc>
          <w:tcPr>
            <w:tcW w:type="dxa" w:w="4320"/>
          </w:tcPr>
          <w:p>
            <w:r>
              <w:rPr>
                <w:b/>
                <w:sz w:val="18"/>
              </w:rPr>
              <w:t>Yapılandırma</w:t>
            </w:r>
          </w:p>
        </w:tc>
        <w:tc>
          <w:tcPr>
            <w:tcW w:type="dxa" w:w="4320"/>
          </w:tcPr>
          <w:p>
            <w:r>
              <w:rPr>
                <w:b/>
                <w:sz w:val="18"/>
              </w:rPr>
              <w:t>OOF ROC-AUC</w:t>
            </w:r>
          </w:p>
        </w:tc>
      </w:tr>
      <w:tr>
        <w:tc>
          <w:tcPr>
            <w:tcW w:type="dxa" w:w="4320"/>
          </w:tcPr>
          <w:p>
            <w:r>
              <w:rPr>
                <w:sz w:val="18"/>
              </w:rPr>
              <w:t>Temel (tüm öznitelikler)</w:t>
            </w:r>
          </w:p>
        </w:tc>
        <w:tc>
          <w:tcPr>
            <w:tcW w:type="dxa" w:w="4320"/>
          </w:tcPr>
          <w:p>
            <w:r>
              <w:rPr>
                <w:sz w:val="18"/>
              </w:rPr>
              <w:t>0.8461</w:t>
            </w:r>
          </w:p>
        </w:tc>
      </w:tr>
      <w:tr>
        <w:tc>
          <w:tcPr>
            <w:tcW w:type="dxa" w:w="4320"/>
          </w:tcPr>
          <w:p>
            <w:r>
              <w:rPr>
                <w:sz w:val="18"/>
              </w:rPr>
              <w:t>Ablasyon (EK_4/5/6/7 yok)</w:t>
            </w:r>
          </w:p>
        </w:tc>
        <w:tc>
          <w:tcPr>
            <w:tcW w:type="dxa" w:w="4320"/>
          </w:tcPr>
          <w:p>
            <w:r>
              <w:rPr>
                <w:sz w:val="18"/>
              </w:rPr>
              <w:t>0.8349</w:t>
            </w:r>
          </w:p>
        </w:tc>
      </w:tr>
      <w:tr>
        <w:tc>
          <w:tcPr>
            <w:tcW w:type="dxa" w:w="4320"/>
          </w:tcPr>
          <w:p>
            <w:r>
              <w:rPr>
                <w:sz w:val="18"/>
              </w:rPr>
              <w:t>Fark (Δ)</w:t>
            </w:r>
          </w:p>
        </w:tc>
        <w:tc>
          <w:tcPr>
            <w:tcW w:type="dxa" w:w="4320"/>
          </w:tcPr>
          <w:p>
            <w:r>
              <w:rPr>
                <w:sz w:val="18"/>
              </w:rPr>
              <w:t>−0.0112</w:t>
            </w:r>
          </w:p>
        </w:tc>
      </w:tr>
    </w:tbl>
    <w:p/>
    <w:p>
      <w:r>
        <w:t>0.02'nin altındaki bu düşüş, modelin baskın EK öznitelikilerine düşük bağımlılık gösterdiğini ve olası etiket sızıntısına (ClinVar döngüselliği) karşı dayanıklı olduğunu kanıtlar.</w:t>
      </w:r>
    </w:p>
    <w:p>
      <w:pPr>
        <w:pStyle w:val="Heading2"/>
      </w:pPr>
      <w:r>
        <w:t>3.5 Ayrılmış Bağımsız Kohort Testi (Dışsal Geçerlilik Simülasyonu)</w:t>
      </w:r>
    </w:p>
    <w:p>
      <w:r>
        <w:t>Anonimleştirme nedeniyle gerçek anlamda bağımsız bir dış veri seti oluşturulamadığından, kesin biçimde izole edilmiş bir ayrılmış kohort ile dışsal geçerlilik simülasyonu yapılmıştır. Temel modeller yalnızca MASTER üzerinde eğitildiğinden, panellerde bulunup MASTER'da bulunmayan 293 varyant eğitimde hiç görülmemiştir; izolasyon Variant_ID üzerinden kod içinde doğrulanmıştır (0 sızıntı). Dondurulmuş çıkarım hattı bu kohorta 0.305 eşiğinde uygulanmıştır (yeniden eğitim yoktur).</w:t>
      </w:r>
    </w:p>
    <w:tbl>
      <w:tblPr>
        <w:tblStyle w:val="LightGrid-Accent1"/>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sz w:val="18"/>
              </w:rPr>
              <w:t>Kohort</w:t>
            </w:r>
          </w:p>
        </w:tc>
        <w:tc>
          <w:tcPr>
            <w:tcW w:type="dxa" w:w="1234"/>
          </w:tcPr>
          <w:p>
            <w:r>
              <w:rPr>
                <w:b/>
                <w:sz w:val="18"/>
              </w:rPr>
              <w:t>n</w:t>
            </w:r>
          </w:p>
        </w:tc>
        <w:tc>
          <w:tcPr>
            <w:tcW w:type="dxa" w:w="1234"/>
          </w:tcPr>
          <w:p>
            <w:r>
              <w:rPr>
                <w:b/>
                <w:sz w:val="18"/>
              </w:rPr>
              <w:t>ROC-AUC</w:t>
            </w:r>
          </w:p>
        </w:tc>
        <w:tc>
          <w:tcPr>
            <w:tcW w:type="dxa" w:w="1234"/>
          </w:tcPr>
          <w:p>
            <w:r>
              <w:rPr>
                <w:b/>
                <w:sz w:val="18"/>
              </w:rPr>
              <w:t>PR-AUC</w:t>
            </w:r>
          </w:p>
        </w:tc>
        <w:tc>
          <w:tcPr>
            <w:tcW w:type="dxa" w:w="1234"/>
          </w:tcPr>
          <w:p>
            <w:r>
              <w:rPr>
                <w:b/>
                <w:sz w:val="18"/>
              </w:rPr>
              <w:t>Dengeli F1</w:t>
            </w:r>
          </w:p>
        </w:tc>
        <w:tc>
          <w:tcPr>
            <w:tcW w:type="dxa" w:w="1234"/>
          </w:tcPr>
          <w:p>
            <w:r>
              <w:rPr>
                <w:b/>
                <w:sz w:val="18"/>
              </w:rPr>
              <w:t>Duyarlılık</w:t>
            </w:r>
          </w:p>
        </w:tc>
        <w:tc>
          <w:tcPr>
            <w:tcW w:type="dxa" w:w="1234"/>
          </w:tcPr>
          <w:p>
            <w:r>
              <w:rPr>
                <w:b/>
                <w:sz w:val="18"/>
              </w:rPr>
              <w:t>Özgüllük</w:t>
            </w:r>
          </w:p>
        </w:tc>
      </w:tr>
      <w:tr>
        <w:tc>
          <w:tcPr>
            <w:tcW w:type="dxa" w:w="1234"/>
          </w:tcPr>
          <w:p>
            <w:r>
              <w:rPr>
                <w:sz w:val="18"/>
              </w:rPr>
              <w:t>Birleşik</w:t>
            </w:r>
          </w:p>
        </w:tc>
        <w:tc>
          <w:tcPr>
            <w:tcW w:type="dxa" w:w="1234"/>
          </w:tcPr>
          <w:p>
            <w:r>
              <w:rPr>
                <w:sz w:val="18"/>
              </w:rPr>
              <w:t>293</w:t>
            </w:r>
          </w:p>
        </w:tc>
        <w:tc>
          <w:tcPr>
            <w:tcW w:type="dxa" w:w="1234"/>
          </w:tcPr>
          <w:p>
            <w:r>
              <w:rPr>
                <w:sz w:val="18"/>
              </w:rPr>
              <w:t>0.8934</w:t>
            </w:r>
          </w:p>
        </w:tc>
        <w:tc>
          <w:tcPr>
            <w:tcW w:type="dxa" w:w="1234"/>
          </w:tcPr>
          <w:p>
            <w:r>
              <w:rPr>
                <w:sz w:val="18"/>
              </w:rPr>
              <w:t>0.8557</w:t>
            </w:r>
          </w:p>
        </w:tc>
        <w:tc>
          <w:tcPr>
            <w:tcW w:type="dxa" w:w="1234"/>
          </w:tcPr>
          <w:p>
            <w:r>
              <w:rPr>
                <w:sz w:val="18"/>
              </w:rPr>
              <w:t>0.8282</w:t>
            </w:r>
          </w:p>
        </w:tc>
        <w:tc>
          <w:tcPr>
            <w:tcW w:type="dxa" w:w="1234"/>
          </w:tcPr>
          <w:p>
            <w:r>
              <w:rPr>
                <w:sz w:val="18"/>
              </w:rPr>
              <w:t>0.9538</w:t>
            </w:r>
          </w:p>
        </w:tc>
        <w:tc>
          <w:tcPr>
            <w:tcW w:type="dxa" w:w="1234"/>
          </w:tcPr>
          <w:p>
            <w:r>
              <w:rPr>
                <w:sz w:val="18"/>
              </w:rPr>
              <w:t>0.6503</w:t>
            </w:r>
          </w:p>
        </w:tc>
      </w:tr>
      <w:tr>
        <w:tc>
          <w:tcPr>
            <w:tcW w:type="dxa" w:w="1234"/>
          </w:tcPr>
          <w:p>
            <w:r>
              <w:rPr>
                <w:sz w:val="18"/>
              </w:rPr>
              <w:t>CFTR</w:t>
            </w:r>
          </w:p>
        </w:tc>
        <w:tc>
          <w:tcPr>
            <w:tcW w:type="dxa" w:w="1234"/>
          </w:tcPr>
          <w:p>
            <w:r>
              <w:rPr>
                <w:sz w:val="18"/>
              </w:rPr>
              <w:t>34</w:t>
            </w:r>
          </w:p>
        </w:tc>
        <w:tc>
          <w:tcPr>
            <w:tcW w:type="dxa" w:w="1234"/>
          </w:tcPr>
          <w:p>
            <w:r>
              <w:rPr>
                <w:sz w:val="18"/>
              </w:rPr>
              <w:t>0.9619</w:t>
            </w:r>
          </w:p>
        </w:tc>
        <w:tc>
          <w:tcPr>
            <w:tcW w:type="dxa" w:w="1234"/>
          </w:tcPr>
          <w:p>
            <w:r>
              <w:rPr>
                <w:sz w:val="18"/>
              </w:rPr>
              <w:t>0.9640</w:t>
            </w:r>
          </w:p>
        </w:tc>
        <w:tc>
          <w:tcPr>
            <w:tcW w:type="dxa" w:w="1234"/>
          </w:tcPr>
          <w:p>
            <w:r>
              <w:rPr>
                <w:sz w:val="18"/>
              </w:rPr>
              <w:t>0.8235</w:t>
            </w:r>
          </w:p>
        </w:tc>
        <w:tc>
          <w:tcPr>
            <w:tcW w:type="dxa" w:w="1234"/>
          </w:tcPr>
          <w:p>
            <w:r>
              <w:rPr>
                <w:sz w:val="18"/>
              </w:rPr>
              <w:t>0.8235</w:t>
            </w:r>
          </w:p>
        </w:tc>
        <w:tc>
          <w:tcPr>
            <w:tcW w:type="dxa" w:w="1234"/>
          </w:tcPr>
          <w:p>
            <w:r>
              <w:rPr>
                <w:sz w:val="18"/>
              </w:rPr>
              <w:t>0.8235</w:t>
            </w:r>
          </w:p>
        </w:tc>
      </w:tr>
      <w:tr>
        <w:tc>
          <w:tcPr>
            <w:tcW w:type="dxa" w:w="1234"/>
          </w:tcPr>
          <w:p>
            <w:r>
              <w:rPr>
                <w:sz w:val="18"/>
              </w:rPr>
              <w:t>KANSER</w:t>
            </w:r>
          </w:p>
        </w:tc>
        <w:tc>
          <w:tcPr>
            <w:tcW w:type="dxa" w:w="1234"/>
          </w:tcPr>
          <w:p>
            <w:r>
              <w:rPr>
                <w:sz w:val="18"/>
              </w:rPr>
              <w:t>142</w:t>
            </w:r>
          </w:p>
        </w:tc>
        <w:tc>
          <w:tcPr>
            <w:tcW w:type="dxa" w:w="1234"/>
          </w:tcPr>
          <w:p>
            <w:r>
              <w:rPr>
                <w:sz w:val="18"/>
              </w:rPr>
              <w:t>0.9416</w:t>
            </w:r>
          </w:p>
        </w:tc>
        <w:tc>
          <w:tcPr>
            <w:tcW w:type="dxa" w:w="1234"/>
          </w:tcPr>
          <w:p>
            <w:r>
              <w:rPr>
                <w:sz w:val="18"/>
              </w:rPr>
              <w:t>0.8848</w:t>
            </w:r>
          </w:p>
        </w:tc>
        <w:tc>
          <w:tcPr>
            <w:tcW w:type="dxa" w:w="1234"/>
          </w:tcPr>
          <w:p>
            <w:r>
              <w:rPr>
                <w:sz w:val="18"/>
              </w:rPr>
              <w:t>0.8589</w:t>
            </w:r>
          </w:p>
        </w:tc>
        <w:tc>
          <w:tcPr>
            <w:tcW w:type="dxa" w:w="1234"/>
          </w:tcPr>
          <w:p>
            <w:r>
              <w:rPr>
                <w:sz w:val="18"/>
              </w:rPr>
              <w:t>0.9778</w:t>
            </w:r>
          </w:p>
        </w:tc>
        <w:tc>
          <w:tcPr>
            <w:tcW w:type="dxa" w:w="1234"/>
          </w:tcPr>
          <w:p>
            <w:r>
              <w:rPr>
                <w:sz w:val="18"/>
              </w:rPr>
              <w:t>0.7010</w:t>
            </w:r>
          </w:p>
        </w:tc>
      </w:tr>
      <w:tr>
        <w:tc>
          <w:tcPr>
            <w:tcW w:type="dxa" w:w="1234"/>
          </w:tcPr>
          <w:p>
            <w:r>
              <w:rPr>
                <w:sz w:val="18"/>
              </w:rPr>
              <w:t>PAH</w:t>
            </w:r>
          </w:p>
        </w:tc>
        <w:tc>
          <w:tcPr>
            <w:tcW w:type="dxa" w:w="1234"/>
          </w:tcPr>
          <w:p>
            <w:r>
              <w:rPr>
                <w:sz w:val="18"/>
              </w:rPr>
              <w:t>117</w:t>
            </w:r>
          </w:p>
        </w:tc>
        <w:tc>
          <w:tcPr>
            <w:tcW w:type="dxa" w:w="1234"/>
          </w:tcPr>
          <w:p>
            <w:r>
              <w:rPr>
                <w:sz w:val="18"/>
              </w:rPr>
              <w:t>0.8187</w:t>
            </w:r>
          </w:p>
        </w:tc>
        <w:tc>
          <w:tcPr>
            <w:tcW w:type="dxa" w:w="1234"/>
          </w:tcPr>
          <w:p>
            <w:r>
              <w:rPr>
                <w:sz w:val="18"/>
              </w:rPr>
              <w:t>0.8272</w:t>
            </w:r>
          </w:p>
        </w:tc>
        <w:tc>
          <w:tcPr>
            <w:tcW w:type="dxa" w:w="1234"/>
          </w:tcPr>
          <w:p>
            <w:r>
              <w:rPr>
                <w:sz w:val="18"/>
              </w:rPr>
              <w:t>0.7825</w:t>
            </w:r>
          </w:p>
        </w:tc>
        <w:tc>
          <w:tcPr>
            <w:tcW w:type="dxa" w:w="1234"/>
          </w:tcPr>
          <w:p>
            <w:r>
              <w:rPr>
                <w:sz w:val="18"/>
              </w:rPr>
              <w:t>0.9706</w:t>
            </w:r>
          </w:p>
        </w:tc>
        <w:tc>
          <w:tcPr>
            <w:tcW w:type="dxa" w:w="1234"/>
          </w:tcPr>
          <w:p>
            <w:r>
              <w:rPr>
                <w:sz w:val="18"/>
              </w:rPr>
              <w:t>0.4898</w:t>
            </w:r>
          </w:p>
        </w:tc>
      </w:tr>
    </w:tbl>
    <w:p/>
    <w:p>
      <w:pPr>
        <w:pStyle w:val="Heading2"/>
      </w:pPr>
      <w:r>
        <w:t>3.6 Açıklanabilirlik (SHAP)</w:t>
      </w:r>
    </w:p>
    <w:p>
      <w:r>
        <w:t>SHAP TreeExplainer ile küresel ve yerel açıklamalar üretilmiştir. Ortalama |SHAP| değerine göre en etkili öznitelikler: EK_7, AL_327, AA_1_R, EK_2, AL_1, AL_16, EK_6, EK_9, AL_311, AL_319. EK_7'nin baskınlığı, Bölüm 3.3'teki hata analiziyle (düşük EK_7 → kaçırılan patojenik) tutarlıdır. En yüksek güvenli YP/YN vakaları için yerel öznitelik katkı grafikleri üretilmiştir (reports/phase_04_optimization/figures/).</w:t>
      </w:r>
    </w:p>
    <w:p>
      <w:pPr>
        <w:pStyle w:val="Heading1"/>
      </w:pPr>
      <w:r>
        <w:rPr>
          <w:color w:val="1F3A5F"/>
        </w:rPr>
        <w:t>4. SONUÇ</w:t>
      </w:r>
    </w:p>
    <w:p>
      <w:r>
        <w:t>Önerilen sistem; eksiklik-farkında özellik mühendisliği, klinik maliyete duyarlı örneklem-dışı eşik kalibrasyonu, çok modelli yığınlama, kanıtlanmış sızıntı izolasyonu ve tek tutarlı operasyon noktası (0.305) ile yeniden üretilebilir (seed=42) bir mimaridir. Yığınlanmış topluluk OOF ROC-AUC 0.8581 ve ayrılmış kohortta ROC-AUC 0.8934 ile genelleştirilebilir bir performans sergilemektedir.</w:t>
      </w:r>
    </w:p>
    <w:p>
      <w:pPr>
        <w:pStyle w:val="Heading2"/>
      </w:pPr>
      <w:r>
        <w:t>4.1 Kısıtlar</w:t>
      </w:r>
    </w:p>
    <w:p>
      <w:pPr>
        <w:pStyle w:val="ListBullet"/>
      </w:pPr>
      <w:r>
        <w:t>Dışsal geçerlilik simülasyonu gerçek anlamda bağımsız değildir: ayrılmış kohort aynı anonim öznitelik çıkarım hattından gelir; izolasyon kesindir ancak bu bir örneklem-dışı tahmindir.</w:t>
      </w:r>
    </w:p>
    <w:p>
      <w:pPr>
        <w:pStyle w:val="ListBullet"/>
      </w:pPr>
      <w:r>
        <w:t>Ayrılmış kohort ROC-AUC'sinin (0.8934) iç OOF değerinden (0.8581) yüksek olması 'eğitimden daha iyi' biçiminde yorumlanmamalıdır; neden, görülmemiş CFTR ve KANSER varyantlarının daha ayrıştırılabilir olmasıdır. Gerçekten zor olan PAH paneli ayrılmış kohortta da 0.8187 ile en düşük değeri verir.</w:t>
      </w:r>
    </w:p>
    <w:p>
      <w:pPr>
        <w:pStyle w:val="ListBullet"/>
      </w:pPr>
      <w:r>
        <w:t>EK döngüselliği tamamen dışlanamaz; anonim öznitelilerin kaynağı doğrulanamadığından belirsizlik korunur (ablasyon düşük bağımlılık gösterse de).</w:t>
      </w:r>
    </w:p>
    <w:p>
      <w:pPr>
        <w:pStyle w:val="ListBullet"/>
      </w:pPr>
      <w:r>
        <w:t>CFTR örneklem büyüklüğü küçüktür (n=111; ayrılmış alt küme n=34) ve metrikleri yüksek varyans taşır.</w:t>
      </w:r>
    </w:p>
    <w:p>
      <w:pPr>
        <w:pStyle w:val="ListBullet"/>
      </w:pPr>
      <w:r>
        <w:t>PAH paneli düşük özgüllük (0.5000) ile en zayıf performansı verir; 5:1 dengesizlik ve yüksek eksiklik temel nedendir ve öncelikli iyileştirme hedefidir.</w:t>
      </w:r>
    </w:p>
    <w:p>
      <w:r>
        <w:t>Gelecek çalışmalar: Optuna ile hiperparametre optimizasyonu, panel-bazlı (leave-one-panel-out) eşik kalibrasyonu ve daha derin hata analizi mevcut altyapı üzerinde doğrudan uygulanabilir.</w:t>
      </w:r>
    </w:p>
    <w:p>
      <w:pPr>
        <w:pStyle w:val="Heading1"/>
      </w:pPr>
      <w:r>
        <w:rPr>
          <w:color w:val="1F3A5F"/>
        </w:rPr>
        <w:t>5. KAYNAKÇA</w:t>
      </w:r>
    </w:p>
    <w:p>
      <w:r>
        <w:t>[1] Richards S, et al. Standards and guidelines for the interpretation of sequence variants: a joint consensus recommendation of the ACMG and AMP. Genetics in Medicine. 2015;17(5):405-424.</w:t>
      </w:r>
    </w:p>
    <w:p>
      <w:r>
        <w:t>[2] Landrum MJ, et al. ClinVar: improving access to variant interpretations and supporting evidence. Nucleic Acids Research. 2018;46(D1):D1062-D1067.</w:t>
      </w:r>
    </w:p>
    <w:p>
      <w:r>
        <w:t>[3] Ke G, et al. LightGBM: A Highly Efficient Gradient Boosting Decision Tree. Advances in Neural Information Processing Systems (NeurIPS). 2017.</w:t>
      </w:r>
    </w:p>
    <w:p>
      <w:r>
        <w:t>[4] Chen T, Guestrin C. XGBoost: A Scalable Tree Boosting System. Proceedings of the 22nd ACM SIGKDD International Conference on Knowledge Discovery and Data Mining. 2016:785-794.</w:t>
      </w:r>
    </w:p>
    <w:p>
      <w:r>
        <w:t>[5] Prokhorenkova L, et al. CatBoost: unbiased boosting with categorical features. Advances in Neural Information Processing Systems (NeurIPS). 2018.</w:t>
      </w:r>
    </w:p>
    <w:p>
      <w:r>
        <w:t>[6] Lundberg SM, Lee SI. A Unified Approach to Interpreting Model Predictions. Advances in Neural Information Processing Systems (NeurIPS). 2017.</w:t>
      </w:r>
    </w:p>
    <w:p>
      <w:r>
        <w:t>[7] Karczewski KJ, et al. The mutational constraint spectrum quantified from variation in 141,456 humans (gnomAD). Nature. 2020;581:434-443.</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