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3 — Pipeline B: Missingness-Aware GBDT</w:t>
      </w:r>
    </w:p>
    <w:p>
      <w:pPr>
        <w:jc w:val="center"/>
      </w:pPr>
      <w:r>
        <w:rPr>
          <w:color w:val="646464"/>
          <w:sz w:val="24"/>
        </w:rPr>
        <w:t>TEKNOFEST Healthcare AI — Missense Variant Classification</w:t>
      </w:r>
    </w:p>
    <w:p>
      <w:pPr>
        <w:pStyle w:val="Heading1"/>
      </w:pPr>
      <w:r>
        <w:t>1. Model Configuration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Algorithm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LightGBM (GBDT)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Learning Rate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Num Leaves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Early Stopping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100 rounds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Class Balance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is_unbalance=True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CV Strategy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5-fold Stratified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 Features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655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Training Samples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2931</w:t>
            </w:r>
          </w:p>
        </w:tc>
      </w:tr>
    </w:tbl>
    <w:p>
      <w:pPr>
        <w:pStyle w:val="Heading1"/>
      </w:pPr>
      <w:r>
        <w:t>2. Preprocessing Steps</w:t>
      </w:r>
    </w:p>
    <w:p>
      <w:pPr>
        <w:pStyle w:val="ListBullet"/>
      </w:pPr>
      <w:r>
        <w:t>Drop Variant_ID (leakage prevention)</w:t>
      </w:r>
    </w:p>
    <w:p>
      <w:pPr>
        <w:pStyle w:val="ListBullet"/>
      </w:pPr>
      <w:r>
        <w:t>Drop 57 constant columns (zero information)</w:t>
      </w:r>
    </w:p>
    <w:p>
      <w:pPr>
        <w:pStyle w:val="ListBullet"/>
      </w:pPr>
      <w:r>
        <w:t>Add 286 per-feature missingness indicators</w:t>
      </w:r>
    </w:p>
    <w:p>
      <w:pPr>
        <w:pStyle w:val="ListBullet"/>
      </w:pPr>
      <w:r>
        <w:t>Add 7 group-level missingness counts + row-level totals</w:t>
      </w:r>
    </w:p>
    <w:p>
      <w:pPr>
        <w:pStyle w:val="ListBullet"/>
      </w:pPr>
      <w:r>
        <w:t>One-hot encode CAT_3, CAT_4, CAT_5 (genotype fields)</w:t>
      </w:r>
    </w:p>
    <w:p>
      <w:pPr>
        <w:pStyle w:val="ListBullet"/>
      </w:pPr>
      <w:r>
        <w:t>Label encode CAT_1, CAT_2 (population labels)</w:t>
      </w:r>
    </w:p>
    <w:p>
      <w:pPr>
        <w:pStyle w:val="ListBullet"/>
      </w:pPr>
      <w:r>
        <w:t>Binary flag for CAT_6 (region annotation)</w:t>
      </w:r>
    </w:p>
    <w:p>
      <w:pPr>
        <w:pStyle w:val="ListBullet"/>
      </w:pPr>
      <w:r>
        <w:t>One-hot encode AA_1, AA_2 (amino acids)</w:t>
      </w:r>
    </w:p>
    <w:p>
      <w:pPr>
        <w:pStyle w:val="Heading1"/>
      </w:pPr>
      <w:r>
        <w:t>3. Overall OOF Performance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ROC-AUC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0.8461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PR-AUC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0.9249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Log Loss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0.4127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Brier Score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0.1295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F1 @ 0.5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0.8733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Sensitivity @ 0.5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0.8660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Specificity @ 0.5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0.6777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MCC @ 0.5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0.5361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Balanced Accuracy @ 0.5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0.7719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Calibration Error (ECE)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0.0771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42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Per-Fold Stability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18"/>
              </w:rPr>
              <w:t>Fold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ROC-AUC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PR-AUC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Sens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Spec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MCC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Iters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0.8609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0.9350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0.8759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0.8698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0.6815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0.5449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0.8423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0.9265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0.8737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0.8767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0.6410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0.5210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101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0.8519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0.9318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0.8791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0.8791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0.6667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0.5457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59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0.8554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0.9266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0.8737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0.8605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0.6987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0.5456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83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0.8222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0.9035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0.8640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0.8438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0.7006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0.5252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0.8465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0.9247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0.8733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0.8660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0.6777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0.5365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77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0.0152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0.0124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0.0056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0.0143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0.0234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0.0123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_st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Threshold Optimisation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MCC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0.8660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0.6777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0.8733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0.5361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Best F1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0.334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0.9563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0.4949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0.8937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0.5387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Sens ≥ 95%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0.359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0.9502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0.5141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0.8935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0.5421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Youden's J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0.596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0.8288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0.7289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0.8600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0.5287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Best MCC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0.370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0.9474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0.5205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0.8930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0.5417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420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w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20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522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Top 30 Features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Gain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Conservation (phyloP)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5335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AL_327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1341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1270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Conservation (GERP++)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1085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 (CADD raw)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1050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 (meta-predictor)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916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744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742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 knowledge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718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645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 (CADD phred)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637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 knowledge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611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 knowledge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603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 (meta-predictor)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588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586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572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568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524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AA_1_R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Amino acid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519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AL_287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496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AL_215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458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AL_331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421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AL_315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419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AL_319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375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337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AL_311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AL_186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325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316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AL_15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4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top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Feature Category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Mean Gain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Gain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Top Feature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Allele annotation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277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84.1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23292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AL_327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Extra knowledge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1282.4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11541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EK_7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Amino acid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21.1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1078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AA_1_R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15.7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361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CAT_1_enc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Missingness (agg)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144.8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total_miss_count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Missingness (group)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miss_grp_al_39_95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Missingness (per-feat)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miss_EK_3</w:t>
            </w:r>
          </w:p>
        </w:tc>
      </w:tr>
    </w:tbl>
    <w:p>
      <w:r>
        <w:rPr>
          <w:b/>
        </w:rPr>
        <w:br/>
        <w:t xml:space="preserve">Missingness features contribution: </w:t>
      </w:r>
      <w:r>
        <w:t>1.0% of total importance gain (368 / 36,641). Per-feature indicators were mostly unused; group-level and aggregate counts were more useful.</w:t>
      </w:r>
    </w:p>
    <w:p>
      <w:pPr>
        <w:pStyle w:val="Heading1"/>
      </w:pPr>
      <w:r>
        <w:t>8. Per-Panel Performance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rPr>
                <w:b/>
                <w:sz w:val="18"/>
              </w:rPr>
              <w:t>Panel</w:t>
            </w:r>
          </w:p>
        </w:tc>
        <w:tc>
          <w:tcPr>
            <w:tcW w:type="dxa" w:w="1045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45"/>
          </w:tcPr>
          <w:p>
            <w:r>
              <w:rPr>
                <w:b/>
                <w:sz w:val="18"/>
              </w:rPr>
              <w:t>Shared</w:t>
            </w:r>
          </w:p>
        </w:tc>
        <w:tc>
          <w:tcPr>
            <w:tcW w:type="dxa" w:w="1045"/>
          </w:tcPr>
          <w:p>
            <w:r>
              <w:rPr>
                <w:b/>
                <w:sz w:val="18"/>
              </w:rPr>
              <w:t>ROC-AUC</w:t>
            </w:r>
          </w:p>
        </w:tc>
        <w:tc>
          <w:tcPr>
            <w:tcW w:type="dxa" w:w="1045"/>
          </w:tcPr>
          <w:p>
            <w:r>
              <w:rPr>
                <w:b/>
                <w:sz w:val="18"/>
              </w:rPr>
              <w:t>PR-AUC</w:t>
            </w:r>
          </w:p>
        </w:tc>
        <w:tc>
          <w:tcPr>
            <w:tcW w:type="dxa" w:w="1045"/>
          </w:tcPr>
          <w:p>
            <w:r>
              <w:rPr>
                <w:b/>
                <w:sz w:val="18"/>
              </w:rPr>
              <w:t>F1@0.5</w:t>
            </w:r>
          </w:p>
        </w:tc>
        <w:tc>
          <w:tcPr>
            <w:tcW w:type="dxa" w:w="1045"/>
          </w:tcPr>
          <w:p>
            <w:r>
              <w:rPr>
                <w:b/>
                <w:sz w:val="18"/>
              </w:rPr>
              <w:t>Sens</w:t>
            </w:r>
          </w:p>
        </w:tc>
        <w:tc>
          <w:tcPr>
            <w:tcW w:type="dxa" w:w="1045"/>
          </w:tcPr>
          <w:p>
            <w:r>
              <w:rPr>
                <w:b/>
                <w:sz w:val="18"/>
              </w:rPr>
              <w:t>Spec</w:t>
            </w:r>
          </w:p>
        </w:tc>
        <w:tc>
          <w:tcPr>
            <w:tcW w:type="dxa" w:w="1045"/>
          </w:tcPr>
          <w:p>
            <w:r>
              <w:rPr>
                <w:b/>
                <w:sz w:val="18"/>
              </w:rPr>
              <w:t>Opt Thr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CFTR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0.9402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0.9857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0.9371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0.9111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0.8571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0.413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PAH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372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0.7720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0.9336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0.8893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0.8806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0.5000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0.205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KANSER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246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0.9141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0.9547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0.9055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0.9478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0.6750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0.466</w:t>
            </w:r>
          </w:p>
        </w:tc>
      </w:tr>
    </w:tbl>
    <w:p>
      <w:pPr>
        <w:pStyle w:val="Heading1"/>
      </w:pPr>
      <w:r>
        <w:t>9.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043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0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Prediction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5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Next Steps</w:t>
      </w:r>
    </w:p>
    <w:p>
      <w:pPr>
        <w:pStyle w:val="ListBullet"/>
      </w:pPr>
      <w:r>
        <w:t>Pipeline C: Drop EK_4/5/6, re-train to measure circularity impact</w:t>
      </w:r>
    </w:p>
    <w:p>
      <w:pPr>
        <w:pStyle w:val="ListBullet"/>
      </w:pPr>
      <w:r>
        <w:t>Hyperparameter tuning via Bayesian optimisation</w:t>
      </w:r>
    </w:p>
    <w:p>
      <w:pPr>
        <w:pStyle w:val="ListBullet"/>
      </w:pPr>
      <w:r>
        <w:t>XGBoost and CatBoost comparison runs</w:t>
      </w:r>
    </w:p>
    <w:p>
      <w:pPr>
        <w:pStyle w:val="ListBullet"/>
      </w:pPr>
      <w:r>
        <w:t>Per-panel threshold calibration (especially PAH)</w:t>
      </w:r>
    </w:p>
    <w:p>
      <w:pPr>
        <w:pStyle w:val="ListBullet"/>
      </w:pPr>
      <w:r>
        <w:t>Stacking ensemble (Pipeline E)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