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69C6" w14:textId="54374D26" w:rsidR="00A87054" w:rsidRPr="00A87054" w:rsidRDefault="00A87054" w:rsidP="00A87054">
      <w:r w:rsidRPr="00A87054">
        <w:rPr>
          <w:b/>
          <w:bCs/>
        </w:rPr>
        <w:t xml:space="preserve">Data Exploration </w:t>
      </w:r>
      <w:r>
        <w:rPr>
          <w:b/>
          <w:bCs/>
        </w:rPr>
        <w:t>-</w:t>
      </w:r>
      <w:r w:rsidRPr="00A87054">
        <w:rPr>
          <w:b/>
          <w:bCs/>
        </w:rPr>
        <w:t xml:space="preserve"> Our Parks and Active Lives</w:t>
      </w:r>
    </w:p>
    <w:p w14:paraId="21C69EB5" w14:textId="5B960064" w:rsidR="00A87054" w:rsidRPr="00A87054" w:rsidRDefault="00A87054" w:rsidP="00A87054">
      <w:r w:rsidRPr="00A87054">
        <w:t xml:space="preserve">I explored the Our Parks dataset by querying its public API directly, implementing a resilient, checkpointed fetch to handle intermittent connection timeouts across paginated results. During exploration, I found that borough could be derived directly from the dataset's programme field for most records, except for a small number of ambiguous entries notably sessions run by The Royal Parks, which span multiple boroughs which I resolved individually using postcode and venue location. I also identified that a subset of sessions </w:t>
      </w:r>
      <w:proofErr w:type="gramStart"/>
      <w:r w:rsidRPr="00A87054">
        <w:t>were</w:t>
      </w:r>
      <w:proofErr w:type="gramEnd"/>
      <w:r w:rsidRPr="00A87054">
        <w:t xml:space="preserve"> online/streamed rather than </w:t>
      </w:r>
      <w:proofErr w:type="gramStart"/>
      <w:r w:rsidRPr="00A87054">
        <w:t>physical, and</w:t>
      </w:r>
      <w:proofErr w:type="gramEnd"/>
      <w:r w:rsidRPr="00A87054">
        <w:t xml:space="preserve"> flagged these separately rather than assigning them a borough.</w:t>
      </w:r>
    </w:p>
    <w:p w14:paraId="5BC34E0F" w14:textId="56B85A09" w:rsidR="00A87054" w:rsidRPr="00A87054" w:rsidRDefault="00A87054" w:rsidP="00A87054">
      <w:r w:rsidRPr="00A87054">
        <w:t>For the Active Lives Survey, I explored the raw SPSS microdata for the November 2021</w:t>
      </w:r>
      <w:r>
        <w:t>-</w:t>
      </w:r>
      <w:r w:rsidRPr="00A87054">
        <w:t>22 survey year (177,551 respondents, over 10,000 variables) to identify the correct variables for analysis: the region filter for London, the year-specific local authority variable (LA_2021), and the survey weight (</w:t>
      </w:r>
      <w:proofErr w:type="spellStart"/>
      <w:r w:rsidRPr="00A87054">
        <w:t>wt_final</w:t>
      </w:r>
      <w:proofErr w:type="spellEnd"/>
      <w:r w:rsidRPr="00A87054">
        <w:t xml:space="preserve">) required for valid percentage estimates. I also identified that one candidate activity-level variable only covered respondents already classified as inactive rather than the full </w:t>
      </w:r>
      <w:r w:rsidRPr="00A87054">
        <w:t>sample and</w:t>
      </w:r>
      <w:r w:rsidRPr="00A87054">
        <w:t xml:space="preserve"> used the correct alternative (MEMS7GR_ALL) instead. From this, I produced a borough-level gap-score table and a demographic population profile table for 2021–22, applying survey weighting throughout and flagging demographic cells with unreliably small sample sizes.</w:t>
      </w:r>
    </w:p>
    <w:p w14:paraId="08278A44" w14:textId="77777777" w:rsidR="00A87054" w:rsidRDefault="00A87054"/>
    <w:sectPr w:rsidR="00A87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054"/>
    <w:rsid w:val="00876989"/>
    <w:rsid w:val="00A8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C75BF"/>
  <w15:chartTrackingRefBased/>
  <w15:docId w15:val="{F9A4203D-AE39-4635-8ACE-4C060A788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Ouamer Ali</dc:creator>
  <cp:keywords/>
  <dc:description/>
  <cp:lastModifiedBy>Melissa Ouamer Ali</cp:lastModifiedBy>
  <cp:revision>1</cp:revision>
  <dcterms:created xsi:type="dcterms:W3CDTF">2026-08-11T12:26:00Z</dcterms:created>
  <dcterms:modified xsi:type="dcterms:W3CDTF">2026-08-11T12:27:00Z</dcterms:modified>
</cp:coreProperties>
</file>