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5F81" w14:textId="215FCE07" w:rsidR="00112E25" w:rsidRPr="00112E25" w:rsidRDefault="00112E25" w:rsidP="00112E25">
      <w:pPr>
        <w:rPr>
          <w:b/>
          <w:bCs/>
          <w:sz w:val="28"/>
          <w:szCs w:val="28"/>
        </w:rPr>
      </w:pPr>
      <w:r w:rsidRPr="00112E25">
        <w:rPr>
          <w:b/>
          <w:bCs/>
          <w:sz w:val="28"/>
          <w:szCs w:val="28"/>
        </w:rPr>
        <w:t>Abstract:</w:t>
      </w:r>
    </w:p>
    <w:p w14:paraId="61842EF9" w14:textId="52110450" w:rsidR="00112E25" w:rsidRPr="00112E25" w:rsidRDefault="00112E25" w:rsidP="00112E25">
      <w:r w:rsidRPr="00112E25">
        <w:t xml:space="preserve">Access to physical activity provision varies substantially across London, yet local decision-makers lack a unified, data-driven view of where supply and demand are most mismatched. This project addresses that gap by combining two open data sources: </w:t>
      </w:r>
      <w:proofErr w:type="spellStart"/>
      <w:r w:rsidRPr="00112E25">
        <w:t>OpenActive</w:t>
      </w:r>
      <w:proofErr w:type="spellEnd"/>
      <w:r w:rsidRPr="00112E25">
        <w:t>, which provides supply-side data on bookable physical activity sessions across four major London providers, and Sport England's Active Lives Survey, which measures population inactivity by borough and demographic group over multiple years. These two sources are combined at the level of London's 33 boroughs to produce a priority index ranking each borough by the mismatch between need and available supply.</w:t>
      </w:r>
    </w:p>
    <w:p w14:paraId="270AF3B4" w14:textId="77777777" w:rsidR="00112E25" w:rsidRPr="00112E25" w:rsidRDefault="00112E25" w:rsidP="00112E25">
      <w:r w:rsidRPr="00112E25">
        <w:t>From this analysis, we developed two complementary tools. The first is a mapping dashboard allowing decision-makers to explore each borough by inactivity rate, priority index, and the demographic groups most affected by inactivity (age, disability, ethnicity, and qualification level). The second is a resident-facing web application allowing users to search for physical activities near their location, with filters for distance, price, time slot, sex, age, accessibility, and sport category, combining an interactive map, an activity list, and predictions of upcoming available sessions.</w:t>
      </w:r>
    </w:p>
    <w:p w14:paraId="6A3413C9" w14:textId="74312AA6" w:rsidR="00112E25" w:rsidRPr="00112E25" w:rsidRDefault="00112E25" w:rsidP="00112E25">
      <w:r w:rsidRPr="00112E25">
        <w:t>The priority index revealed that Barking and Dagenham, Waltham Forest, and Newham combine high inactivity, low or unaffordable supply, and worsening multi-year trends. Across nearly every high-priority borough, residents with no formal qualifications, limiting disabilities, or South Asian ethnicity consistently showed the highest inactivity rates. The headline finding of this project is that physical inactivity in London is not a uniform geographic problem, but a layered pattern of targeted access inequalities one that only an analysis combining supply and demand data can reveal and meaningfully address.</w:t>
      </w:r>
    </w:p>
    <w:p w14:paraId="2EF63874" w14:textId="77777777" w:rsidR="000C7190" w:rsidRPr="000C7190" w:rsidRDefault="000C7190" w:rsidP="000C7190">
      <w:pPr>
        <w:rPr>
          <w:b/>
          <w:bCs/>
        </w:rPr>
      </w:pPr>
      <w:r w:rsidRPr="000C7190">
        <w:rPr>
          <w:b/>
          <w:bCs/>
        </w:rPr>
        <w:t>2. Introduction</w:t>
      </w:r>
    </w:p>
    <w:p w14:paraId="36E097CD" w14:textId="77777777" w:rsidR="000C7190" w:rsidRPr="000C7190" w:rsidRDefault="000C7190" w:rsidP="000C7190">
      <w:pPr>
        <w:rPr>
          <w:b/>
          <w:bCs/>
        </w:rPr>
      </w:pPr>
      <w:r w:rsidRPr="000C7190">
        <w:rPr>
          <w:b/>
          <w:bCs/>
        </w:rPr>
        <w:t>2.1 Context and motivation</w:t>
      </w:r>
    </w:p>
    <w:p w14:paraId="612C6F42" w14:textId="113EF753" w:rsidR="000C7190" w:rsidRPr="000C7190" w:rsidRDefault="000C7190" w:rsidP="000C7190">
      <w:r w:rsidRPr="000C7190">
        <w:t xml:space="preserve">Regular physical activity is one of the most cost-effective interventions available for improving public health, yet inactivity remains persistently high across parts of London, with substantial variation between boroughs and between demographic groups within the same borough. This variation is not random: inactivity tends to cluster among older residents, disabled residents, residents without formal qualifications, and specific ethnic groups, suggesting that the barriers to physical activity are structural rather than simply a matter of individual choice. Addressing this unevenly distributed problem requires decision-makers to know not only </w:t>
      </w:r>
      <w:r w:rsidRPr="000C7190">
        <w:rPr>
          <w:i/>
          <w:iCs/>
        </w:rPr>
        <w:t>how much</w:t>
      </w:r>
      <w:r w:rsidRPr="000C7190">
        <w:t xml:space="preserve"> inactivity exists </w:t>
      </w:r>
      <w:proofErr w:type="gramStart"/>
      <w:r w:rsidRPr="000C7190">
        <w:t>in a given</w:t>
      </w:r>
      <w:proofErr w:type="gramEnd"/>
      <w:r w:rsidRPr="000C7190">
        <w:t xml:space="preserve"> area, but </w:t>
      </w:r>
      <w:r w:rsidRPr="000C7190">
        <w:rPr>
          <w:i/>
          <w:iCs/>
        </w:rPr>
        <w:t>why</w:t>
      </w:r>
      <w:r w:rsidRPr="000C7190">
        <w:t xml:space="preserve"> whether the underlying issue is a genuine shortage of accessible activity provision, or something else entirely, such as cost, timing, or awareness.</w:t>
      </w:r>
    </w:p>
    <w:p w14:paraId="00B52460" w14:textId="0EEE1D97" w:rsidR="000C7190" w:rsidRPr="000C7190" w:rsidRDefault="000C7190" w:rsidP="000C7190">
      <w:r w:rsidRPr="000C7190">
        <w:lastRenderedPageBreak/>
        <w:t xml:space="preserve">The difficulty is that the data needed to answer this question exists, but in two disconnected forms. On the supply side, individual leisure providers, local authorities, and community organisations increasingly publish their activity schedules through </w:t>
      </w:r>
      <w:proofErr w:type="spellStart"/>
      <w:r w:rsidRPr="000C7190">
        <w:t>OpenActive</w:t>
      </w:r>
      <w:proofErr w:type="spellEnd"/>
      <w:r w:rsidRPr="000C7190">
        <w:t>, an open data standard designed to make session-level information location, price, timing, activity type machine-readable and comparable across providers. On the demand side, Sport England's Active Lives Survey provides borough-level and demographic-level inactivity estimates, derived from a large-scale weighted survey conducted annually since 2015. Each dataset is valuable on its own, but neither answers the underlying question in isolation: supply data alone cannot show where the need is greatest, and demand data alone cannot show whether adequate provision already exists nearby. This project is motivated by the observation that combining these two data ecosystems something not routinely done in practice could reveal a more actionable picture of where physical activity investment would have the greatest impact, and for whom.</w:t>
      </w:r>
    </w:p>
    <w:p w14:paraId="404131D8" w14:textId="5D4ED157" w:rsidR="000C7190" w:rsidRPr="000C7190" w:rsidRDefault="000C7190" w:rsidP="000C7190">
      <w:r w:rsidRPr="000C7190">
        <w:t xml:space="preserve">A further complication emerged during initial data exploration: several boroughs returned zero or near-zero sessions across all four </w:t>
      </w:r>
      <w:proofErr w:type="spellStart"/>
      <w:r w:rsidRPr="000C7190">
        <w:t>OpenActive</w:t>
      </w:r>
      <w:proofErr w:type="spellEnd"/>
      <w:r w:rsidRPr="000C7190">
        <w:t xml:space="preserve"> provider feeds used in this project, despite those same boroughs reporting non-trivial inactivity levels in the Active Lives data. This raises a genuine methodological question at the heart of the project whether an apparent "activity desert" reflects a real absence of provision, or simply a gap in which providers currently publish open data, a distinction with materially different policy implications.</w:t>
      </w:r>
    </w:p>
    <w:p w14:paraId="20220370" w14:textId="77777777" w:rsidR="000C7190" w:rsidRPr="000C7190" w:rsidRDefault="000C7190" w:rsidP="000C7190">
      <w:pPr>
        <w:rPr>
          <w:b/>
          <w:bCs/>
        </w:rPr>
      </w:pPr>
      <w:r w:rsidRPr="000C7190">
        <w:rPr>
          <w:b/>
          <w:bCs/>
        </w:rPr>
        <w:t>2.2 Research questions, aims and objectives</w:t>
      </w:r>
    </w:p>
    <w:p w14:paraId="53EAA811" w14:textId="77777777" w:rsidR="000C7190" w:rsidRPr="000C7190" w:rsidRDefault="000C7190" w:rsidP="000C7190">
      <w:r w:rsidRPr="000C7190">
        <w:t>This project is guided by three research questions:</w:t>
      </w:r>
    </w:p>
    <w:p w14:paraId="6C3E7FD8" w14:textId="322EFFFF" w:rsidR="000C7190" w:rsidRPr="000C7190" w:rsidRDefault="000C7190" w:rsidP="000C7190">
      <w:pPr>
        <w:numPr>
          <w:ilvl w:val="0"/>
          <w:numId w:val="1"/>
        </w:numPr>
      </w:pPr>
      <w:r w:rsidRPr="000C7190">
        <w:t xml:space="preserve">Can combining </w:t>
      </w:r>
      <w:proofErr w:type="spellStart"/>
      <w:r w:rsidRPr="000C7190">
        <w:t>OpenActive</w:t>
      </w:r>
      <w:proofErr w:type="spellEnd"/>
      <w:r w:rsidRPr="000C7190">
        <w:t xml:space="preserve"> supply data with Active Lives demand data distinguish genuine activity deserts from digital blind spots boroughs where provision may exist but is not captured by currently available open data?</w:t>
      </w:r>
    </w:p>
    <w:p w14:paraId="34BB8259" w14:textId="77777777" w:rsidR="000C7190" w:rsidRPr="000C7190" w:rsidRDefault="000C7190" w:rsidP="000C7190">
      <w:pPr>
        <w:numPr>
          <w:ilvl w:val="0"/>
          <w:numId w:val="1"/>
        </w:numPr>
      </w:pPr>
      <w:r w:rsidRPr="000C7190">
        <w:t>Which boroughs, and which demographic groups within them, show the greatest combined gap between physical activity need and available supply, and has this gap been improving or worsening over time?</w:t>
      </w:r>
    </w:p>
    <w:p w14:paraId="188453FF" w14:textId="77777777" w:rsidR="000C7190" w:rsidRPr="000C7190" w:rsidRDefault="000C7190" w:rsidP="000C7190">
      <w:pPr>
        <w:numPr>
          <w:ilvl w:val="0"/>
          <w:numId w:val="1"/>
        </w:numPr>
      </w:pPr>
      <w:r w:rsidRPr="000C7190">
        <w:t>Can this combined analysis be translated into practical tools usable both by decision-makers allocating investment and by residents seeking activities directly?</w:t>
      </w:r>
    </w:p>
    <w:p w14:paraId="279711F0" w14:textId="77777777" w:rsidR="000C7190" w:rsidRPr="000C7190" w:rsidRDefault="000C7190" w:rsidP="000C7190">
      <w:r w:rsidRPr="000C7190">
        <w:t>To answer these questions, the project pursued the following concrete objectives:</w:t>
      </w:r>
    </w:p>
    <w:p w14:paraId="6997F5C8" w14:textId="77777777" w:rsidR="000C7190" w:rsidRPr="000C7190" w:rsidRDefault="000C7190" w:rsidP="000C7190">
      <w:pPr>
        <w:numPr>
          <w:ilvl w:val="0"/>
          <w:numId w:val="2"/>
        </w:numPr>
      </w:pPr>
      <w:r w:rsidRPr="000C7190">
        <w:t xml:space="preserve">Build a resilient data harvesting and cleaning pipeline capable of standardising four independently structured </w:t>
      </w:r>
      <w:proofErr w:type="spellStart"/>
      <w:r w:rsidRPr="000C7190">
        <w:t>OpenActive</w:t>
      </w:r>
      <w:proofErr w:type="spellEnd"/>
      <w:r w:rsidRPr="000C7190">
        <w:t xml:space="preserve"> provider feeds into a single, borough-mapped schema.</w:t>
      </w:r>
    </w:p>
    <w:p w14:paraId="05BCF272" w14:textId="77777777" w:rsidR="000C7190" w:rsidRPr="000C7190" w:rsidRDefault="000C7190" w:rsidP="000C7190">
      <w:pPr>
        <w:numPr>
          <w:ilvl w:val="0"/>
          <w:numId w:val="2"/>
        </w:numPr>
      </w:pPr>
      <w:r w:rsidRPr="000C7190">
        <w:lastRenderedPageBreak/>
        <w:t>Integrate multiple years of Active Lives Survey microdata at both borough level and demographic-group level, correctly applying survey weighting throughout.</w:t>
      </w:r>
    </w:p>
    <w:p w14:paraId="3CADAB66" w14:textId="77777777" w:rsidR="000C7190" w:rsidRPr="000C7190" w:rsidRDefault="000C7190" w:rsidP="000C7190">
      <w:pPr>
        <w:numPr>
          <w:ilvl w:val="0"/>
          <w:numId w:val="2"/>
        </w:numPr>
      </w:pPr>
      <w:r w:rsidRPr="000C7190">
        <w:t>Construct a composite, borough-level priority scoring framework combining inactivity level, supply gap, multi-year trend, and demographic inequality indicators.</w:t>
      </w:r>
    </w:p>
    <w:p w14:paraId="6D95336E" w14:textId="77777777" w:rsidR="000C7190" w:rsidRPr="000C7190" w:rsidRDefault="000C7190" w:rsidP="000C7190">
      <w:pPr>
        <w:numPr>
          <w:ilvl w:val="0"/>
          <w:numId w:val="2"/>
        </w:numPr>
      </w:pPr>
      <w:r w:rsidRPr="000C7190">
        <w:t>Investigate, using a supervised model, whether supply-side features alone can predict borough-level inactivity, and report this finding honestly regardless of outcome.</w:t>
      </w:r>
    </w:p>
    <w:p w14:paraId="0FE2F8D4" w14:textId="77777777" w:rsidR="000C7190" w:rsidRPr="000C7190" w:rsidRDefault="000C7190" w:rsidP="000C7190">
      <w:pPr>
        <w:numPr>
          <w:ilvl w:val="0"/>
          <w:numId w:val="2"/>
        </w:numPr>
      </w:pPr>
      <w:r w:rsidRPr="000C7190">
        <w:t>Segment boroughs by demographic inactivity profile using unsupervised clustering, to identify borough archetypes beyond a single linear ranking.</w:t>
      </w:r>
    </w:p>
    <w:p w14:paraId="117085DB" w14:textId="77777777" w:rsidR="000C7190" w:rsidRPr="000C7190" w:rsidRDefault="000C7190" w:rsidP="000C7190">
      <w:pPr>
        <w:numPr>
          <w:ilvl w:val="0"/>
          <w:numId w:val="2"/>
        </w:numPr>
      </w:pPr>
      <w:r w:rsidRPr="000C7190">
        <w:t>Design and build a mapping dashboard translating this analysis into a borough-level decision-support tool.</w:t>
      </w:r>
    </w:p>
    <w:p w14:paraId="24CBD5D0" w14:textId="77777777" w:rsidR="000C7190" w:rsidRPr="000C7190" w:rsidRDefault="000C7190" w:rsidP="000C7190">
      <w:pPr>
        <w:numPr>
          <w:ilvl w:val="0"/>
          <w:numId w:val="2"/>
        </w:numPr>
      </w:pPr>
      <w:r w:rsidRPr="000C7190">
        <w:t>Design and build a resident-facing web application that operationalises the same underlying supply data into a practical, filterable activity-finder.</w:t>
      </w:r>
    </w:p>
    <w:p w14:paraId="3AD64954" w14:textId="77777777" w:rsidR="000C7190" w:rsidRPr="000C7190" w:rsidRDefault="000C7190" w:rsidP="000C7190">
      <w:pPr>
        <w:rPr>
          <w:b/>
          <w:bCs/>
        </w:rPr>
      </w:pPr>
      <w:r w:rsidRPr="000C7190">
        <w:rPr>
          <w:b/>
          <w:bCs/>
        </w:rPr>
        <w:t>2.3 Dissertation structure</w:t>
      </w:r>
    </w:p>
    <w:p w14:paraId="49C80145" w14:textId="77777777" w:rsidR="000C7190" w:rsidRPr="000C7190" w:rsidRDefault="000C7190" w:rsidP="000C7190">
      <w:r w:rsidRPr="000C7190">
        <w:t>The remainder of this dissertation is structured as follows. Chapter 3 presents the research philosophy and methodology adopted, including the rationale for the chosen approach, a description of the data sources used, the technical decisions behind the data pipeline, and the limitations and deviations from the original project plan. Chapter 4 provides a literature review covering open data standards in sport and leisure, methods for measuring physical activity, and existing work on spatial access to services, before positioning this project's contribution relative to that work. Chapter 5, the most substantial chapter, presents the findings and analysis: the data harvesting and processing pipeline, the gap-score classification framework, the activity finder prototype, and a discussion interpreting these results against the literature reviewed in Chapter 4. Chapter 6 concludes the dissertation with a summary of the contributions made and directions for future work.</w:t>
      </w:r>
    </w:p>
    <w:p w14:paraId="3242A87E" w14:textId="77777777" w:rsidR="00112E25" w:rsidRDefault="00112E25"/>
    <w:sectPr w:rsidR="00112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63E7"/>
    <w:multiLevelType w:val="multilevel"/>
    <w:tmpl w:val="A51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D7485"/>
    <w:multiLevelType w:val="multilevel"/>
    <w:tmpl w:val="E2C4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336295">
    <w:abstractNumId w:val="1"/>
  </w:num>
  <w:num w:numId="2" w16cid:durableId="164307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E25"/>
    <w:rsid w:val="000C7190"/>
    <w:rsid w:val="00112E25"/>
    <w:rsid w:val="008769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E4AB"/>
  <w15:chartTrackingRefBased/>
  <w15:docId w15:val="{DFF2533C-7BA4-4183-8684-5BF55720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E25"/>
    <w:rPr>
      <w:rFonts w:eastAsiaTheme="majorEastAsia" w:cstheme="majorBidi"/>
      <w:color w:val="272727" w:themeColor="text1" w:themeTint="D8"/>
    </w:rPr>
  </w:style>
  <w:style w:type="paragraph" w:styleId="Title">
    <w:name w:val="Title"/>
    <w:basedOn w:val="Normal"/>
    <w:next w:val="Normal"/>
    <w:link w:val="TitleChar"/>
    <w:uiPriority w:val="10"/>
    <w:qFormat/>
    <w:rsid w:val="00112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E25"/>
    <w:pPr>
      <w:spacing w:before="160"/>
      <w:jc w:val="center"/>
    </w:pPr>
    <w:rPr>
      <w:i/>
      <w:iCs/>
      <w:color w:val="404040" w:themeColor="text1" w:themeTint="BF"/>
    </w:rPr>
  </w:style>
  <w:style w:type="character" w:customStyle="1" w:styleId="QuoteChar">
    <w:name w:val="Quote Char"/>
    <w:basedOn w:val="DefaultParagraphFont"/>
    <w:link w:val="Quote"/>
    <w:uiPriority w:val="29"/>
    <w:rsid w:val="00112E25"/>
    <w:rPr>
      <w:i/>
      <w:iCs/>
      <w:color w:val="404040" w:themeColor="text1" w:themeTint="BF"/>
    </w:rPr>
  </w:style>
  <w:style w:type="paragraph" w:styleId="ListParagraph">
    <w:name w:val="List Paragraph"/>
    <w:basedOn w:val="Normal"/>
    <w:uiPriority w:val="34"/>
    <w:qFormat/>
    <w:rsid w:val="00112E25"/>
    <w:pPr>
      <w:ind w:left="720"/>
      <w:contextualSpacing/>
    </w:pPr>
  </w:style>
  <w:style w:type="character" w:styleId="IntenseEmphasis">
    <w:name w:val="Intense Emphasis"/>
    <w:basedOn w:val="DefaultParagraphFont"/>
    <w:uiPriority w:val="21"/>
    <w:qFormat/>
    <w:rsid w:val="00112E25"/>
    <w:rPr>
      <w:i/>
      <w:iCs/>
      <w:color w:val="0F4761" w:themeColor="accent1" w:themeShade="BF"/>
    </w:rPr>
  </w:style>
  <w:style w:type="paragraph" w:styleId="IntenseQuote">
    <w:name w:val="Intense Quote"/>
    <w:basedOn w:val="Normal"/>
    <w:next w:val="Normal"/>
    <w:link w:val="IntenseQuoteChar"/>
    <w:uiPriority w:val="30"/>
    <w:qFormat/>
    <w:rsid w:val="00112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E25"/>
    <w:rPr>
      <w:i/>
      <w:iCs/>
      <w:color w:val="0F4761" w:themeColor="accent1" w:themeShade="BF"/>
    </w:rPr>
  </w:style>
  <w:style w:type="character" w:styleId="IntenseReference">
    <w:name w:val="Intense Reference"/>
    <w:basedOn w:val="DefaultParagraphFont"/>
    <w:uiPriority w:val="32"/>
    <w:qFormat/>
    <w:rsid w:val="00112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Ouamer Ali</dc:creator>
  <cp:keywords/>
  <dc:description/>
  <cp:lastModifiedBy>Melissa Ouamer Ali</cp:lastModifiedBy>
  <cp:revision>1</cp:revision>
  <dcterms:created xsi:type="dcterms:W3CDTF">2026-08-11T13:10:00Z</dcterms:created>
  <dcterms:modified xsi:type="dcterms:W3CDTF">2026-08-11T14:11:00Z</dcterms:modified>
</cp:coreProperties>
</file>