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E2CD6" w14:textId="49661ACA" w:rsidR="008170D2" w:rsidRPr="004C5B88" w:rsidRDefault="008170D2" w:rsidP="003B0A6C">
      <w:pPr>
        <w:pStyle w:val="Title"/>
        <w:spacing w:line="276" w:lineRule="auto"/>
        <w:jc w:val="center"/>
        <w:rPr>
          <w:rFonts w:asciiTheme="majorBidi" w:hAnsiTheme="majorBidi"/>
          <w:b/>
          <w:bCs/>
          <w:sz w:val="20"/>
          <w:szCs w:val="20"/>
        </w:rPr>
      </w:pPr>
      <w:r w:rsidRPr="004C5B88">
        <w:rPr>
          <w:rFonts w:asciiTheme="majorBidi" w:hAnsiTheme="majorBidi"/>
          <w:b/>
          <w:bCs/>
          <w:sz w:val="20"/>
          <w:szCs w:val="20"/>
        </w:rPr>
        <w:t>Report on</w:t>
      </w:r>
      <w:r w:rsidRPr="004C5B88">
        <w:rPr>
          <w:rFonts w:asciiTheme="majorBidi" w:hAnsiTheme="majorBidi"/>
          <w:b/>
          <w:bCs/>
          <w:sz w:val="20"/>
          <w:szCs w:val="20"/>
          <w:rtl/>
        </w:rPr>
        <w:t xml:space="preserve">: </w:t>
      </w:r>
      <w:r w:rsidRPr="004C5B88">
        <w:rPr>
          <w:rFonts w:asciiTheme="majorBidi" w:hAnsiTheme="majorBidi"/>
          <w:b/>
          <w:bCs/>
          <w:sz w:val="20"/>
          <w:szCs w:val="20"/>
        </w:rPr>
        <w:t xml:space="preserve"> Plasma protein profiling predicts cancer in patients with non-specific</w:t>
      </w:r>
      <w:r w:rsidRPr="004C5B88">
        <w:rPr>
          <w:rFonts w:asciiTheme="majorBidi" w:hAnsiTheme="majorBidi"/>
          <w:b/>
          <w:bCs/>
          <w:sz w:val="20"/>
          <w:szCs w:val="20"/>
          <w:rtl/>
        </w:rPr>
        <w:t xml:space="preserve"> </w:t>
      </w:r>
      <w:r w:rsidRPr="004C5B88">
        <w:rPr>
          <w:rFonts w:asciiTheme="majorBidi" w:hAnsiTheme="majorBidi"/>
          <w:b/>
          <w:bCs/>
          <w:sz w:val="20"/>
          <w:szCs w:val="20"/>
        </w:rPr>
        <w:t>symptoms</w:t>
      </w:r>
    </w:p>
    <w:p w14:paraId="61CAF1D8" w14:textId="6C3CB229" w:rsidR="008170D2" w:rsidRPr="00F909A5" w:rsidRDefault="003B0A6C" w:rsidP="004C5B88">
      <w:pPr>
        <w:spacing w:line="276" w:lineRule="auto"/>
        <w:rPr>
          <w:b/>
          <w:bCs/>
          <w:sz w:val="20"/>
          <w:szCs w:val="20"/>
        </w:rPr>
      </w:pPr>
      <w:r w:rsidRPr="00F909A5">
        <w:rPr>
          <w:rFonts w:asciiTheme="majorBidi" w:hAnsiTheme="majorBidi" w:cstheme="majorBidi"/>
          <w:b/>
          <w:bCs/>
          <w:color w:val="000000" w:themeColor="text1"/>
          <w:sz w:val="20"/>
          <w:szCs w:val="20"/>
        </w:rPr>
        <w:t xml:space="preserve">Melika Janmohammadifiroz, Department of Biology, College of Fundamental Science, Azad University, </w:t>
      </w:r>
      <w:proofErr w:type="spellStart"/>
      <w:r w:rsidRPr="00F909A5">
        <w:rPr>
          <w:rFonts w:asciiTheme="majorBidi" w:hAnsiTheme="majorBidi" w:cstheme="majorBidi"/>
          <w:b/>
          <w:bCs/>
          <w:color w:val="000000" w:themeColor="text1"/>
          <w:sz w:val="20"/>
          <w:szCs w:val="20"/>
        </w:rPr>
        <w:t>Qaemshahr</w:t>
      </w:r>
      <w:proofErr w:type="spellEnd"/>
      <w:r w:rsidRPr="00F909A5">
        <w:rPr>
          <w:rFonts w:asciiTheme="majorBidi" w:hAnsiTheme="majorBidi" w:cstheme="majorBidi"/>
          <w:b/>
          <w:bCs/>
          <w:color w:val="000000" w:themeColor="text1"/>
          <w:sz w:val="20"/>
          <w:szCs w:val="20"/>
        </w:rPr>
        <w:t xml:space="preserve"> Branch, </w:t>
      </w:r>
      <w:proofErr w:type="spellStart"/>
      <w:r w:rsidRPr="00F909A5">
        <w:rPr>
          <w:rFonts w:asciiTheme="majorBidi" w:hAnsiTheme="majorBidi" w:cstheme="majorBidi"/>
          <w:b/>
          <w:bCs/>
          <w:color w:val="000000" w:themeColor="text1"/>
          <w:sz w:val="20"/>
          <w:szCs w:val="20"/>
        </w:rPr>
        <w:t>Qaemshahr</w:t>
      </w:r>
      <w:proofErr w:type="spellEnd"/>
      <w:r w:rsidRPr="00F909A5">
        <w:rPr>
          <w:rFonts w:asciiTheme="majorBidi" w:hAnsiTheme="majorBidi" w:cstheme="majorBidi"/>
          <w:b/>
          <w:bCs/>
          <w:color w:val="000000" w:themeColor="text1"/>
          <w:sz w:val="20"/>
          <w:szCs w:val="20"/>
        </w:rPr>
        <w:t>, Iran; E</w:t>
      </w:r>
      <w:r w:rsidRPr="00F909A5">
        <w:rPr>
          <w:rFonts w:asciiTheme="majorBidi" w:hAnsiTheme="majorBidi" w:cstheme="majorBidi" w:hint="cs"/>
          <w:b/>
          <w:bCs/>
          <w:color w:val="000000" w:themeColor="text1"/>
          <w:sz w:val="20"/>
          <w:szCs w:val="20"/>
          <w:rtl/>
        </w:rPr>
        <w:t>-</w:t>
      </w:r>
      <w:r w:rsidRPr="00F909A5">
        <w:rPr>
          <w:rFonts w:asciiTheme="majorBidi" w:hAnsiTheme="majorBidi" w:cstheme="majorBidi"/>
          <w:b/>
          <w:bCs/>
          <w:color w:val="000000" w:themeColor="text1"/>
          <w:sz w:val="20"/>
          <w:szCs w:val="20"/>
        </w:rPr>
        <w:t>Mail</w:t>
      </w:r>
      <w:r w:rsidRPr="00F909A5">
        <w:rPr>
          <w:rFonts w:asciiTheme="majorBidi" w:hAnsiTheme="majorBidi" w:cstheme="majorBidi"/>
          <w:b/>
          <w:bCs/>
          <w:color w:val="000000" w:themeColor="text1"/>
          <w:sz w:val="20"/>
          <w:szCs w:val="20"/>
        </w:rPr>
        <w:t xml:space="preserve">: </w:t>
      </w:r>
      <w:hyperlink r:id="rId6" w:history="1">
        <w:r w:rsidRPr="00F909A5">
          <w:rPr>
            <w:rStyle w:val="Hyperlink"/>
            <w:b/>
            <w:bCs/>
            <w:sz w:val="20"/>
            <w:szCs w:val="20"/>
          </w:rPr>
          <w:t>melika.janmohammadifiroz@iau.ir</w:t>
        </w:r>
      </w:hyperlink>
    </w:p>
    <w:p w14:paraId="6A0F71EB" w14:textId="77777777" w:rsidR="001D4C6C" w:rsidRPr="004C5B88" w:rsidRDefault="001D4C6C" w:rsidP="003B0A6C">
      <w:pPr>
        <w:pStyle w:val="Heading1"/>
        <w:spacing w:line="276" w:lineRule="auto"/>
        <w:jc w:val="both"/>
        <w:rPr>
          <w:rFonts w:asciiTheme="majorBidi" w:hAnsiTheme="majorBidi"/>
          <w:b/>
          <w:bCs/>
          <w:sz w:val="20"/>
          <w:szCs w:val="20"/>
        </w:rPr>
      </w:pPr>
      <w:r w:rsidRPr="004C5B88">
        <w:rPr>
          <w:rFonts w:asciiTheme="majorBidi" w:hAnsiTheme="majorBidi"/>
          <w:b/>
          <w:bCs/>
          <w:color w:val="auto"/>
          <w:sz w:val="20"/>
          <w:szCs w:val="20"/>
        </w:rPr>
        <w:t>Abstract</w:t>
      </w:r>
      <w:r w:rsidRPr="004C5B88">
        <w:rPr>
          <w:rFonts w:asciiTheme="majorBidi" w:hAnsiTheme="majorBidi"/>
          <w:b/>
          <w:bCs/>
          <w:sz w:val="20"/>
          <w:szCs w:val="20"/>
        </w:rPr>
        <w:t xml:space="preserve"> </w:t>
      </w:r>
    </w:p>
    <w:p w14:paraId="65FA0276" w14:textId="0B3A4E0C" w:rsidR="00E36E50" w:rsidRDefault="004C4340" w:rsidP="003B0A6C">
      <w:pPr>
        <w:spacing w:line="276" w:lineRule="auto"/>
        <w:jc w:val="both"/>
        <w:rPr>
          <w:rFonts w:asciiTheme="majorBidi" w:hAnsiTheme="majorBidi" w:cstheme="majorBidi"/>
          <w:sz w:val="20"/>
          <w:szCs w:val="20"/>
        </w:rPr>
      </w:pPr>
      <w:r w:rsidRPr="003B0A6C">
        <w:rPr>
          <w:rFonts w:asciiTheme="majorBidi" w:hAnsiTheme="majorBidi" w:cstheme="majorBidi"/>
          <w:sz w:val="20"/>
          <w:szCs w:val="20"/>
          <w:lang w:bidi="fa-IR"/>
        </w:rPr>
        <w:t>Discrimination</w:t>
      </w:r>
      <w:r w:rsidRPr="003B0A6C">
        <w:rPr>
          <w:rFonts w:asciiTheme="majorBidi" w:hAnsiTheme="majorBidi" w:cstheme="majorBidi"/>
          <w:sz w:val="20"/>
          <w:szCs w:val="20"/>
        </w:rPr>
        <w:t xml:space="preserve"> between </w:t>
      </w:r>
      <w:r w:rsidR="00B84B86" w:rsidRPr="003B0A6C">
        <w:rPr>
          <w:rFonts w:asciiTheme="majorBidi" w:hAnsiTheme="majorBidi" w:cstheme="majorBidi"/>
          <w:sz w:val="20"/>
          <w:szCs w:val="20"/>
        </w:rPr>
        <w:t xml:space="preserve">malignancy </w:t>
      </w:r>
      <w:r w:rsidRPr="003B0A6C">
        <w:rPr>
          <w:rFonts w:asciiTheme="majorBidi" w:hAnsiTheme="majorBidi" w:cstheme="majorBidi"/>
          <w:sz w:val="20"/>
          <w:szCs w:val="20"/>
        </w:rPr>
        <w:t>and non-malignant conditions</w:t>
      </w:r>
      <w:r w:rsidR="00B84B86" w:rsidRPr="003B0A6C">
        <w:rPr>
          <w:rFonts w:asciiTheme="majorBidi" w:hAnsiTheme="majorBidi" w:cstheme="majorBidi" w:hint="cs"/>
          <w:sz w:val="20"/>
          <w:szCs w:val="20"/>
          <w:rtl/>
        </w:rPr>
        <w:t xml:space="preserve"> </w:t>
      </w:r>
      <w:r w:rsidR="00B84B86" w:rsidRPr="003B0A6C">
        <w:rPr>
          <w:rFonts w:asciiTheme="majorBidi" w:hAnsiTheme="majorBidi" w:cstheme="majorBidi"/>
          <w:sz w:val="20"/>
          <w:szCs w:val="20"/>
        </w:rPr>
        <w:t xml:space="preserve">in patients </w:t>
      </w:r>
      <w:r w:rsidR="00005A4B" w:rsidRPr="003B0A6C">
        <w:rPr>
          <w:rFonts w:asciiTheme="majorBidi" w:hAnsiTheme="majorBidi" w:cstheme="majorBidi"/>
          <w:sz w:val="20"/>
          <w:szCs w:val="20"/>
        </w:rPr>
        <w:t>poses a</w:t>
      </w:r>
      <w:r w:rsidRPr="003B0A6C">
        <w:rPr>
          <w:rFonts w:asciiTheme="majorBidi" w:hAnsiTheme="majorBidi" w:cstheme="majorBidi"/>
          <w:sz w:val="20"/>
          <w:szCs w:val="20"/>
        </w:rPr>
        <w:t xml:space="preserve"> significant challenge among general practitioners (GPs), especially in patients with non-specific symptoms. </w:t>
      </w:r>
      <w:r w:rsidR="00D537DA" w:rsidRPr="003B0A6C">
        <w:rPr>
          <w:rFonts w:asciiTheme="majorBidi" w:hAnsiTheme="majorBidi" w:cstheme="majorBidi"/>
          <w:sz w:val="20"/>
          <w:szCs w:val="20"/>
        </w:rPr>
        <w:t>T</w:t>
      </w:r>
      <w:r w:rsidRPr="003B0A6C">
        <w:rPr>
          <w:rFonts w:asciiTheme="majorBidi" w:hAnsiTheme="majorBidi" w:cstheme="majorBidi"/>
          <w:sz w:val="20"/>
          <w:szCs w:val="20"/>
        </w:rPr>
        <w:t xml:space="preserve">his study </w:t>
      </w:r>
      <w:r w:rsidR="00D537DA" w:rsidRPr="003B0A6C">
        <w:rPr>
          <w:sz w:val="20"/>
          <w:szCs w:val="20"/>
        </w:rPr>
        <w:t xml:space="preserve">evaluated </w:t>
      </w:r>
      <w:r w:rsidR="00B8478C" w:rsidRPr="003B0A6C">
        <w:rPr>
          <w:rFonts w:asciiTheme="majorBidi" w:hAnsiTheme="majorBidi" w:cstheme="majorBidi"/>
          <w:sz w:val="20"/>
          <w:szCs w:val="20"/>
        </w:rPr>
        <w:t>the</w:t>
      </w:r>
      <w:r w:rsidRPr="003B0A6C">
        <w:rPr>
          <w:rFonts w:asciiTheme="majorBidi" w:hAnsiTheme="majorBidi" w:cstheme="majorBidi"/>
          <w:sz w:val="20"/>
          <w:szCs w:val="20"/>
        </w:rPr>
        <w:t xml:space="preserve"> plasma protein profiling technique </w:t>
      </w:r>
      <w:r w:rsidR="00913568" w:rsidRPr="003B0A6C">
        <w:rPr>
          <w:rFonts w:asciiTheme="majorBidi" w:hAnsiTheme="majorBidi" w:cstheme="majorBidi"/>
          <w:sz w:val="20"/>
          <w:szCs w:val="20"/>
        </w:rPr>
        <w:t>using proximity extension assay (PEA) technology to predict cancer risk</w:t>
      </w:r>
      <w:r w:rsidRPr="003B0A6C">
        <w:rPr>
          <w:rFonts w:asciiTheme="majorBidi" w:hAnsiTheme="majorBidi" w:cstheme="majorBidi"/>
          <w:sz w:val="20"/>
          <w:szCs w:val="20"/>
        </w:rPr>
        <w:t xml:space="preserve">. </w:t>
      </w:r>
      <w:r w:rsidR="00763158" w:rsidRPr="003B0A6C">
        <w:rPr>
          <w:rFonts w:asciiTheme="majorBidi" w:hAnsiTheme="majorBidi" w:cstheme="majorBidi"/>
          <w:sz w:val="20"/>
          <w:szCs w:val="20"/>
        </w:rPr>
        <w:t xml:space="preserve">1,463 plasma proteins </w:t>
      </w:r>
      <w:r w:rsidR="001A5CEF" w:rsidRPr="003B0A6C">
        <w:rPr>
          <w:rFonts w:asciiTheme="majorBidi" w:hAnsiTheme="majorBidi" w:cstheme="majorBidi"/>
          <w:sz w:val="20"/>
          <w:szCs w:val="20"/>
        </w:rPr>
        <w:t xml:space="preserve">were assessed in </w:t>
      </w:r>
      <w:r w:rsidR="00FF6BE3" w:rsidRPr="003B0A6C">
        <w:rPr>
          <w:rFonts w:asciiTheme="majorBidi" w:hAnsiTheme="majorBidi" w:cstheme="majorBidi"/>
          <w:sz w:val="20"/>
          <w:szCs w:val="20"/>
        </w:rPr>
        <w:t xml:space="preserve">the </w:t>
      </w:r>
      <w:r w:rsidR="001A5CEF" w:rsidRPr="003B0A6C">
        <w:rPr>
          <w:rFonts w:asciiTheme="majorBidi" w:hAnsiTheme="majorBidi" w:cstheme="majorBidi"/>
          <w:sz w:val="20"/>
          <w:szCs w:val="20"/>
        </w:rPr>
        <w:t xml:space="preserve">discovery cohort with 456 </w:t>
      </w:r>
      <w:r w:rsidR="00FF6BE3" w:rsidRPr="003B0A6C">
        <w:rPr>
          <w:rFonts w:asciiTheme="majorBidi" w:hAnsiTheme="majorBidi" w:cstheme="majorBidi"/>
          <w:sz w:val="20"/>
          <w:szCs w:val="20"/>
        </w:rPr>
        <w:t>participants</w:t>
      </w:r>
      <w:r w:rsidR="001A5CEF" w:rsidRPr="003B0A6C">
        <w:rPr>
          <w:rFonts w:asciiTheme="majorBidi" w:hAnsiTheme="majorBidi" w:cstheme="majorBidi"/>
          <w:sz w:val="20"/>
          <w:szCs w:val="20"/>
        </w:rPr>
        <w:t xml:space="preserve"> </w:t>
      </w:r>
      <w:r w:rsidR="00FF6BE3" w:rsidRPr="003B0A6C">
        <w:rPr>
          <w:rFonts w:asciiTheme="majorBidi" w:hAnsiTheme="majorBidi" w:cstheme="majorBidi"/>
          <w:sz w:val="20"/>
          <w:szCs w:val="20"/>
        </w:rPr>
        <w:t xml:space="preserve">and the </w:t>
      </w:r>
      <w:r w:rsidR="0022053A" w:rsidRPr="003B0A6C">
        <w:rPr>
          <w:rFonts w:asciiTheme="majorBidi" w:hAnsiTheme="majorBidi" w:cstheme="majorBidi"/>
          <w:sz w:val="20"/>
          <w:szCs w:val="20"/>
        </w:rPr>
        <w:t xml:space="preserve">Replication cohort </w:t>
      </w:r>
      <w:r w:rsidR="00FF6BE3" w:rsidRPr="003B0A6C">
        <w:rPr>
          <w:rFonts w:asciiTheme="majorBidi" w:hAnsiTheme="majorBidi" w:cstheme="majorBidi"/>
          <w:sz w:val="20"/>
          <w:szCs w:val="20"/>
        </w:rPr>
        <w:t>with 238 participants</w:t>
      </w:r>
      <w:r w:rsidR="00B93AB6" w:rsidRPr="003B0A6C">
        <w:rPr>
          <w:rFonts w:asciiTheme="majorBidi" w:hAnsiTheme="majorBidi" w:cstheme="majorBidi"/>
          <w:sz w:val="20"/>
          <w:szCs w:val="20"/>
        </w:rPr>
        <w:t xml:space="preserve">. Subsequently, 29 </w:t>
      </w:r>
      <w:r w:rsidR="009C06F0" w:rsidRPr="003B0A6C">
        <w:rPr>
          <w:rFonts w:asciiTheme="majorBidi" w:hAnsiTheme="majorBidi" w:cstheme="majorBidi"/>
          <w:sz w:val="20"/>
          <w:szCs w:val="20"/>
        </w:rPr>
        <w:t xml:space="preserve">protein signatures were identified as </w:t>
      </w:r>
      <w:r w:rsidR="00E3747E" w:rsidRPr="003B0A6C">
        <w:rPr>
          <w:sz w:val="20"/>
          <w:szCs w:val="20"/>
        </w:rPr>
        <w:t>associated with new cancer diagnoses</w:t>
      </w:r>
      <w:r w:rsidR="002825FF" w:rsidRPr="003B0A6C">
        <w:rPr>
          <w:rFonts w:asciiTheme="majorBidi" w:hAnsiTheme="majorBidi" w:cstheme="majorBidi"/>
          <w:sz w:val="20"/>
          <w:szCs w:val="20"/>
        </w:rPr>
        <w:t xml:space="preserve">. </w:t>
      </w:r>
      <w:r w:rsidRPr="003B0A6C">
        <w:rPr>
          <w:rFonts w:asciiTheme="majorBidi" w:hAnsiTheme="majorBidi" w:cstheme="majorBidi"/>
          <w:sz w:val="20"/>
          <w:szCs w:val="20"/>
        </w:rPr>
        <w:t xml:space="preserve">The model </w:t>
      </w:r>
      <w:r w:rsidR="002825FF" w:rsidRPr="003B0A6C">
        <w:rPr>
          <w:rFonts w:asciiTheme="majorBidi" w:hAnsiTheme="majorBidi" w:cstheme="majorBidi"/>
          <w:sz w:val="20"/>
          <w:szCs w:val="20"/>
        </w:rPr>
        <w:t xml:space="preserve">developed </w:t>
      </w:r>
      <w:r w:rsidRPr="003B0A6C">
        <w:rPr>
          <w:rFonts w:asciiTheme="majorBidi" w:hAnsiTheme="majorBidi" w:cstheme="majorBidi"/>
          <w:sz w:val="20"/>
          <w:szCs w:val="20"/>
        </w:rPr>
        <w:t xml:space="preserve">in the study demonstrated strong performance, particularly in Area Under the Curve (AUC), achieving </w:t>
      </w:r>
      <w:r w:rsidR="0092618C" w:rsidRPr="003B0A6C">
        <w:rPr>
          <w:rFonts w:asciiTheme="majorBidi" w:hAnsiTheme="majorBidi" w:cstheme="majorBidi"/>
          <w:sz w:val="20"/>
          <w:szCs w:val="20"/>
        </w:rPr>
        <w:t xml:space="preserve">0.80 </w:t>
      </w:r>
      <w:r w:rsidR="00E36E50" w:rsidRPr="003B0A6C">
        <w:rPr>
          <w:rFonts w:asciiTheme="majorBidi" w:hAnsiTheme="majorBidi" w:cstheme="majorBidi"/>
          <w:sz w:val="20"/>
          <w:szCs w:val="20"/>
        </w:rPr>
        <w:t xml:space="preserve">in </w:t>
      </w:r>
      <w:r w:rsidR="0092618C" w:rsidRPr="003B0A6C">
        <w:rPr>
          <w:rFonts w:asciiTheme="majorBidi" w:hAnsiTheme="majorBidi" w:cstheme="majorBidi"/>
          <w:sz w:val="20"/>
          <w:szCs w:val="20"/>
        </w:rPr>
        <w:t xml:space="preserve">the discovery and </w:t>
      </w:r>
      <w:r w:rsidR="00225C75" w:rsidRPr="003B0A6C">
        <w:rPr>
          <w:rFonts w:asciiTheme="majorBidi" w:hAnsiTheme="majorBidi" w:cstheme="majorBidi"/>
          <w:sz w:val="20"/>
          <w:szCs w:val="20"/>
        </w:rPr>
        <w:t xml:space="preserve">0.82 in the </w:t>
      </w:r>
      <w:r w:rsidR="0092618C" w:rsidRPr="003B0A6C">
        <w:rPr>
          <w:rFonts w:asciiTheme="majorBidi" w:hAnsiTheme="majorBidi" w:cstheme="majorBidi"/>
          <w:sz w:val="20"/>
          <w:szCs w:val="20"/>
        </w:rPr>
        <w:t>replication cohorts</w:t>
      </w:r>
      <w:r w:rsidRPr="003B0A6C">
        <w:rPr>
          <w:rFonts w:asciiTheme="majorBidi" w:hAnsiTheme="majorBidi" w:cstheme="majorBidi"/>
          <w:sz w:val="20"/>
          <w:szCs w:val="20"/>
        </w:rPr>
        <w:t xml:space="preserve">. Additionally, cancer is effectively distinguished from autoimmune, inflammatory, and infectious diseases. </w:t>
      </w:r>
      <w:r w:rsidR="002C50E3" w:rsidRPr="003B0A6C">
        <w:rPr>
          <w:rFonts w:asciiTheme="majorBidi" w:hAnsiTheme="majorBidi" w:cstheme="majorBidi"/>
          <w:sz w:val="20"/>
          <w:szCs w:val="20"/>
        </w:rPr>
        <w:t>These findings demonstrate</w:t>
      </w:r>
      <w:r w:rsidR="00E36E50" w:rsidRPr="003B0A6C">
        <w:rPr>
          <w:rFonts w:asciiTheme="majorBidi" w:hAnsiTheme="majorBidi" w:cstheme="majorBidi"/>
          <w:sz w:val="20"/>
          <w:szCs w:val="20"/>
        </w:rPr>
        <w:t xml:space="preserve"> that</w:t>
      </w:r>
      <w:r w:rsidRPr="003B0A6C">
        <w:rPr>
          <w:rFonts w:asciiTheme="majorBidi" w:hAnsiTheme="majorBidi" w:cstheme="majorBidi"/>
          <w:sz w:val="20"/>
          <w:szCs w:val="20"/>
        </w:rPr>
        <w:t xml:space="preserve"> </w:t>
      </w:r>
      <w:r w:rsidR="00F43329" w:rsidRPr="003B0A6C">
        <w:rPr>
          <w:rFonts w:asciiTheme="majorBidi" w:hAnsiTheme="majorBidi" w:cstheme="majorBidi"/>
          <w:sz w:val="20"/>
          <w:szCs w:val="20"/>
        </w:rPr>
        <w:t xml:space="preserve">plasma protein profiling would </w:t>
      </w:r>
      <w:r w:rsidR="000732A7" w:rsidRPr="003B0A6C">
        <w:rPr>
          <w:rFonts w:asciiTheme="majorBidi" w:hAnsiTheme="majorBidi" w:cstheme="majorBidi"/>
          <w:sz w:val="20"/>
          <w:szCs w:val="20"/>
        </w:rPr>
        <w:t xml:space="preserve">be </w:t>
      </w:r>
      <w:r w:rsidR="000D7C21" w:rsidRPr="003B0A6C">
        <w:rPr>
          <w:rFonts w:asciiTheme="majorBidi" w:hAnsiTheme="majorBidi" w:cstheme="majorBidi"/>
          <w:sz w:val="20"/>
          <w:szCs w:val="20"/>
        </w:rPr>
        <w:t>an effective triage tool</w:t>
      </w:r>
      <w:r w:rsidR="00C34CA7" w:rsidRPr="003B0A6C">
        <w:rPr>
          <w:rFonts w:asciiTheme="majorBidi" w:hAnsiTheme="majorBidi" w:cstheme="majorBidi"/>
          <w:sz w:val="20"/>
          <w:szCs w:val="20"/>
        </w:rPr>
        <w:t xml:space="preserve"> </w:t>
      </w:r>
      <w:r w:rsidR="00C17ABF" w:rsidRPr="003B0A6C">
        <w:rPr>
          <w:rFonts w:asciiTheme="majorBidi" w:hAnsiTheme="majorBidi" w:cstheme="majorBidi"/>
          <w:sz w:val="20"/>
          <w:szCs w:val="20"/>
        </w:rPr>
        <w:t>that</w:t>
      </w:r>
      <w:r w:rsidR="00C34CA7" w:rsidRPr="003B0A6C">
        <w:rPr>
          <w:rFonts w:asciiTheme="majorBidi" w:hAnsiTheme="majorBidi" w:cstheme="majorBidi"/>
          <w:sz w:val="20"/>
          <w:szCs w:val="20"/>
        </w:rPr>
        <w:t xml:space="preserve"> </w:t>
      </w:r>
      <w:r w:rsidR="00C40735" w:rsidRPr="003B0A6C">
        <w:rPr>
          <w:rFonts w:asciiTheme="majorBidi" w:hAnsiTheme="majorBidi" w:cstheme="majorBidi"/>
          <w:sz w:val="20"/>
          <w:szCs w:val="20"/>
        </w:rPr>
        <w:t xml:space="preserve">would </w:t>
      </w:r>
      <w:r w:rsidR="00E36E50" w:rsidRPr="003B0A6C">
        <w:rPr>
          <w:rFonts w:asciiTheme="majorBidi" w:hAnsiTheme="majorBidi" w:cstheme="majorBidi"/>
          <w:sz w:val="20"/>
          <w:szCs w:val="20"/>
        </w:rPr>
        <w:t>enhances</w:t>
      </w:r>
      <w:r w:rsidR="00B2050A" w:rsidRPr="003B0A6C">
        <w:rPr>
          <w:rFonts w:asciiTheme="majorBidi" w:hAnsiTheme="majorBidi" w:cstheme="majorBidi"/>
          <w:sz w:val="20"/>
          <w:szCs w:val="20"/>
        </w:rPr>
        <w:t xml:space="preserve"> prioritizing </w:t>
      </w:r>
      <w:r w:rsidR="00E36E50" w:rsidRPr="003B0A6C">
        <w:rPr>
          <w:rFonts w:asciiTheme="majorBidi" w:hAnsiTheme="majorBidi" w:cstheme="majorBidi"/>
          <w:sz w:val="20"/>
          <w:szCs w:val="20"/>
        </w:rPr>
        <w:t>high-risk patients for advanced imaging and minimizing unnecessary exposure to invasive diagnostic approaches.</w:t>
      </w:r>
    </w:p>
    <w:p w14:paraId="29A07710" w14:textId="77C9C57A" w:rsidR="00DF098F" w:rsidRPr="00F909A5" w:rsidRDefault="00DF098F" w:rsidP="00DF098F">
      <w:pPr>
        <w:spacing w:line="276" w:lineRule="auto"/>
        <w:jc w:val="both"/>
        <w:rPr>
          <w:rFonts w:asciiTheme="majorBidi" w:hAnsiTheme="majorBidi" w:cstheme="majorBidi" w:hint="cs"/>
          <w:sz w:val="20"/>
          <w:szCs w:val="20"/>
          <w:rtl/>
          <w:lang w:bidi="fa-IR"/>
        </w:rPr>
      </w:pPr>
      <w:r w:rsidRPr="00F909A5">
        <w:rPr>
          <w:rFonts w:asciiTheme="majorBidi" w:hAnsiTheme="majorBidi" w:cstheme="majorBidi"/>
          <w:sz w:val="20"/>
          <w:szCs w:val="20"/>
          <w:lang w:bidi="fa-IR"/>
        </w:rPr>
        <w:t>Keywords: Cancer Biomarkers; Machine Learning Classification; Non-specific Symptoms; Plasma Proteomics; Proximity Extension Assay (PEA)</w:t>
      </w:r>
      <w:r w:rsidR="002B1C0C" w:rsidRPr="00F909A5">
        <w:rPr>
          <w:rFonts w:asciiTheme="majorBidi" w:hAnsiTheme="majorBidi" w:cstheme="majorBidi"/>
          <w:sz w:val="20"/>
          <w:szCs w:val="20"/>
          <w:lang w:bidi="fa-IR"/>
        </w:rPr>
        <w:t>.</w:t>
      </w:r>
    </w:p>
    <w:p w14:paraId="1CBFCB36" w14:textId="77777777" w:rsidR="001D4C6C" w:rsidRPr="004C5B88" w:rsidRDefault="001D4C6C" w:rsidP="003B0A6C">
      <w:pPr>
        <w:pStyle w:val="Heading1"/>
        <w:spacing w:line="276" w:lineRule="auto"/>
        <w:jc w:val="both"/>
        <w:rPr>
          <w:rFonts w:asciiTheme="majorBidi" w:hAnsiTheme="majorBidi"/>
          <w:b/>
          <w:bCs/>
          <w:color w:val="auto"/>
          <w:sz w:val="20"/>
          <w:szCs w:val="20"/>
        </w:rPr>
      </w:pPr>
      <w:r w:rsidRPr="004C5B88">
        <w:rPr>
          <w:rFonts w:asciiTheme="majorBidi" w:hAnsiTheme="majorBidi"/>
          <w:b/>
          <w:bCs/>
          <w:color w:val="auto"/>
          <w:sz w:val="20"/>
          <w:szCs w:val="20"/>
        </w:rPr>
        <w:t>Introduction</w:t>
      </w:r>
    </w:p>
    <w:p w14:paraId="7A598287" w14:textId="45D6109A" w:rsidR="007F124C" w:rsidRPr="003B0A6C" w:rsidRDefault="004C4340" w:rsidP="003B0A6C">
      <w:pPr>
        <w:spacing w:line="276" w:lineRule="auto"/>
        <w:jc w:val="both"/>
        <w:rPr>
          <w:rFonts w:asciiTheme="majorBidi" w:hAnsiTheme="majorBidi" w:cstheme="majorBidi"/>
          <w:sz w:val="20"/>
          <w:szCs w:val="20"/>
        </w:rPr>
      </w:pPr>
      <w:r w:rsidRPr="003B0A6C">
        <w:rPr>
          <w:rFonts w:asciiTheme="majorBidi" w:hAnsiTheme="majorBidi" w:cstheme="majorBidi"/>
          <w:sz w:val="20"/>
          <w:szCs w:val="20"/>
        </w:rPr>
        <w:t xml:space="preserve">Non-specific symptoms, </w:t>
      </w:r>
      <w:r w:rsidRPr="003B0A6C">
        <w:rPr>
          <w:rFonts w:asciiTheme="majorBidi" w:hAnsiTheme="majorBidi" w:cstheme="majorBidi"/>
          <w:sz w:val="20"/>
          <w:szCs w:val="20"/>
          <w:lang w:bidi="fa-IR"/>
        </w:rPr>
        <w:t>described</w:t>
      </w:r>
      <w:r w:rsidRPr="003B0A6C">
        <w:rPr>
          <w:rFonts w:asciiTheme="majorBidi" w:hAnsiTheme="majorBidi" w:cstheme="majorBidi"/>
          <w:sz w:val="20"/>
          <w:szCs w:val="20"/>
        </w:rPr>
        <w:t xml:space="preserve"> by general malaise, extreme fatigue, reduced appetite, and pathological laboratory findings, are a complex issue because they are not immediately and directly indicative of organ-specific cancer. This vague condition makes early diagnosis challenging, which is crucial in cancer treatment. To address this issue, an approach using the blood protein plasma profile is introduced to predict the probability of cancer risk for patients with nonspecific symptoms. This is a fast-tracking triage technique, assisting general practitioners (GPs) in determining which patient group requires invasive imaging and other diagnostic approaches. One strength of this study is that the model distinguishes whether these symptoms result from cancer or other conditions such as infection, inflammation, autoimmune disease, or non-cancerous conditions. It has been highlighted by previous studies that plasma protein panels could enhance the diagnosis of cancer, while the specificity and sensitivity of individual protein markers and false positives require further investigation</w:t>
      </w:r>
      <w:r w:rsidR="005673CF" w:rsidRPr="003B0A6C">
        <w:rPr>
          <w:rFonts w:asciiTheme="majorBidi" w:hAnsiTheme="majorBidi" w:cstheme="majorBidi"/>
          <w:sz w:val="20"/>
          <w:szCs w:val="20"/>
        </w:rPr>
        <w:t>.</w:t>
      </w:r>
      <w:r w:rsidRPr="003B0A6C">
        <w:rPr>
          <w:rFonts w:asciiTheme="majorBidi" w:hAnsiTheme="majorBidi" w:cstheme="majorBidi"/>
          <w:sz w:val="20"/>
          <w:szCs w:val="20"/>
        </w:rPr>
        <w:t xml:space="preserve"> </w:t>
      </w:r>
      <w:r w:rsidR="001D4C6C" w:rsidRPr="003B0A6C">
        <w:rPr>
          <w:rFonts w:asciiTheme="majorBidi" w:hAnsiTheme="majorBidi" w:cstheme="majorBidi"/>
          <w:color w:val="7030A0"/>
          <w:sz w:val="20"/>
          <w:szCs w:val="20"/>
        </w:rPr>
        <w:fldChar w:fldCharType="begin"/>
      </w:r>
      <w:r w:rsidR="001C1041" w:rsidRPr="003B0A6C">
        <w:rPr>
          <w:rFonts w:asciiTheme="majorBidi" w:hAnsiTheme="majorBidi" w:cstheme="majorBidi"/>
          <w:color w:val="7030A0"/>
          <w:sz w:val="20"/>
          <w:szCs w:val="20"/>
        </w:rPr>
        <w:instrText xml:space="preserve"> ADDIN ZOTERO_ITEM CSL_CITATION {"citationID":"6n3AwP7x","properties":{"unsorted":false,"formattedCitation":"(1)","plainCitation":"(1)","noteIndex":0},"citationItems":[{"id":283,"uris":["http://zotero.org/users/19559117/items/FXKW9RL3"],"itemData":{"id":283,"type":"article-journal","abstract":"Background and methods: Inflammation is a hallmark of cancer and its progression. Plasma levels of C-reactive protein (CRP), interleukin-6 (IL-6) and YKL-40 reflect inflammation, and are elevated in patients with cancer. This study investigated whether plasma CRP, IL-6 and YKL-40 had diagnostic value in 753 patients referred with nonspecific signs and symptoms of cancer to a diagnostic outpatient clinic.\nResults: In total, 111 patients were diagnosed with cancer within 3 months and 30 after 3 months. CRP, IL-6 and YKL-40 were elevated in 44%, 60% and 45% of the cancer patients, and in 15%, 33% and 25% of the patients without cancer. Elevated levels of all three markers were associated with risk of cancer within 3 months: CRP (odds ratio (OR) 4.41, 95% confidence interval (CI) 2.86–6.81), IL-6 (OR = 2.89, 1.91–4.37) and YKL-40 (OR = 2.42, 1.59–3.66). Multivariate explorative analyses showed that increasing values were associated with the risk of getting a cancer diagnosis (continuous scale: CRP (OR = 1.28, 1.12–1.47), carcinoembryonic antigen (CEA) (OR = 1.61, 1.41–1.98), CA19-9 (OR = 1.15, 1.03–1.29), age (OR = 1.29, 1.02–1.63); dichotomized values: CRP (OR = 2.54, 1.39–4.66), CEA (OR = 4.22, 2.13–8.34), age (OR = 1.42, 1.13–1.80)). CRP had the highest diagnostic value (area under the curve = 0.69). Combined high CRP, IL-6 and YKL-40 was associated with short overall survival (HR = 3.8, 95% CI 2.5–5.9, p &lt; 0.001).\nConclusion: In conclusion, plasma CRP, IL-6 and YKL-40 alone or combined cannot be used to identify patients with cancer, but high levels were associated with poor prognosis. CRP may be useful to indicate whether further diagnostic evaluation is needed when patients present with nonspecific signs and symptoms of cancer.","container-title":"Cancer Medicine","DOI":"10.1002/cam4.5455","ISSN":"2045-7634, 2045-7634","issue":"6","journalAbbreviation":"Cancer Medicine","language":"en","page":"6675-6688","source":"DOI.org (Crossref)","title":"Combined plasma C‐reactive protein, interleukin 6 and &lt;span style=\"font-variant:small-caps;\"&gt;YKL&lt;/span&gt; ‐40 for detection of cancer and prognosis in patients with serious nonspecific symptoms and signs of cancer","title-short":"Combined plasma C‐reactive protein, interleukin 6 and &lt;span style=\"font-variant","URL":"https://onlinelibrary.wiley.com/doi/10.1002/cam4.5455","volume":"12","author":[{"family":"Videmark","given":"Alex N."},{"family":"Christensen","given":"Ib J."},{"family":"Feltoft","given":"Claus L."},{"family":"Villadsen","given":"Mette"},{"family":"Borg","given":"Frederikke H."},{"family":"Jørgensen","given":"Barbara M."},{"family":"Bojesen","given":"Stig E."},{"family":"Kistorp","given":"Caroline"},{"family":"Ugleholdt","given":"Randi"},{"family":"Johansen","given":"Julia S."}],"accessed":{"date-parts":[["2026",2,12]]},"issued":{"date-parts":[["2023",3]]}}}],"schema":"https://github.com/citation-style-language/schema/raw/master/csl-citation.json"} </w:instrText>
      </w:r>
      <w:r w:rsidR="001D4C6C" w:rsidRPr="003B0A6C">
        <w:rPr>
          <w:rFonts w:asciiTheme="majorBidi" w:hAnsiTheme="majorBidi" w:cstheme="majorBidi"/>
          <w:color w:val="7030A0"/>
          <w:sz w:val="20"/>
          <w:szCs w:val="20"/>
        </w:rPr>
        <w:fldChar w:fldCharType="separate"/>
      </w:r>
      <w:r w:rsidR="001C1041" w:rsidRPr="003B0A6C">
        <w:rPr>
          <w:rFonts w:ascii="Calibri" w:hAnsi="Calibri" w:cs="Calibri"/>
          <w:sz w:val="20"/>
          <w:szCs w:val="20"/>
        </w:rPr>
        <w:t>(1)</w:t>
      </w:r>
      <w:r w:rsidR="001D4C6C" w:rsidRPr="003B0A6C">
        <w:rPr>
          <w:rFonts w:asciiTheme="majorBidi" w:hAnsiTheme="majorBidi" w:cstheme="majorBidi"/>
          <w:color w:val="7030A0"/>
          <w:sz w:val="20"/>
          <w:szCs w:val="20"/>
        </w:rPr>
        <w:fldChar w:fldCharType="end"/>
      </w:r>
      <w:r w:rsidR="001D4C6C" w:rsidRPr="003B0A6C">
        <w:rPr>
          <w:rFonts w:asciiTheme="majorBidi" w:hAnsiTheme="majorBidi" w:cstheme="majorBidi"/>
          <w:color w:val="7030A0"/>
          <w:sz w:val="20"/>
          <w:szCs w:val="20"/>
        </w:rPr>
        <w:t xml:space="preserve"> </w:t>
      </w:r>
      <w:r w:rsidR="001D4C6C" w:rsidRPr="003B0A6C">
        <w:rPr>
          <w:rFonts w:asciiTheme="majorBidi" w:hAnsiTheme="majorBidi" w:cstheme="majorBidi"/>
          <w:color w:val="7030A0"/>
          <w:sz w:val="20"/>
          <w:szCs w:val="20"/>
        </w:rPr>
        <w:fldChar w:fldCharType="begin"/>
      </w:r>
      <w:r w:rsidR="001C1041" w:rsidRPr="003B0A6C">
        <w:rPr>
          <w:rFonts w:asciiTheme="majorBidi" w:hAnsiTheme="majorBidi" w:cstheme="majorBidi"/>
          <w:color w:val="7030A0"/>
          <w:sz w:val="20"/>
          <w:szCs w:val="20"/>
        </w:rPr>
        <w:instrText xml:space="preserve"> ADDIN ZOTERO_ITEM CSL_CITATION {"citationID":"TBmGLGgE","properties":{"unsorted":false,"formattedCitation":"(2)","plainCitation":"(2)","noteIndex":0},"citationItems":[{"id":285,"uris":["http://zotero.org/users/19559117/items/RUWCHRX7"],"itemData":{"id":285,"type":"article-journal","abstract":"Gastric cancer (GC) often presents a poor prognosis due to its asymptomatic phenotype at early stages. Upper endoscopy, which is the current gold standard to diagnose GC, is invasive with limited sensitivity for detecting gastric preneoplasia. Non-invasive biomarkers, such as blood circulating proteins, offer a promising alternative for the early detection of gastric lesions. In this prospective study, we identified plasma protein biomarkers for gastric preneoplasia and cancer using mass spectrometry-based proteomics in an exploratory cohort (n = 39). Fifteen promising protein candidates emerged to distinguish patient categories and were further confirmed by enzyme-linked immunosorbent assays (ELISA) in plasma samples from a validation cohort of 138 participants. Our predictive models demonstrated high classification performance with a minimal set of biomarkers. A four-protein panel (ARG1, CA2, F13A1, S100A12) achieved 94.1–98.2% AUROC (95% CI) for distinguishing cancer from non-cancer cases, while a five-protein panel (ARG1, CA2, HPT, MAN2A1, LBP) reached 97.3–99.5% AUROC (95% CI) for distinguishing cancer or preneoplasia from healthy or non-atrophic gastritis cases on the full cohort. Leveraging simple blood sampling, this strategy holds promise to detect high-risk gastric lesions, even at asymptomatic stages. Such an approach could significantly improve early detection and clinical management of GC, offering direct benefit for patients.","container-title":"International Journal of Molecular Sciences","DOI":"10.3390/ijms262010114","ISSN":"1422-0067","issue":"20","journalAbbreviation":"IJMS","language":"en","page":"10114","source":"DOI.org (Crossref)","title":"Plasma Protein Biomarkers to Detect Early Gastric Preneoplasia and Cancer: A Prospective Study","title-short":"Plasma Protein Biomarkers to Detect Early Gastric Preneoplasia and Cancer","URL":"https://www.mdpi.com/1422-0067/26/20/10114","volume":"26","author":[{"family":"Giai Gianetto","given":"Quentin"},{"family":"Michel","given":"Valérie"},{"family":"Douché","given":"Thibaut"},{"family":"Nozeret","given":"Karine"},{"family":"Zaanan","given":"Aziz"},{"family":"Colussi","given":"Oriane"},{"family":"Trouilloud","given":"Isabelle"},{"family":"Pernot","given":"Simon"},{"family":"Ungeheuer","given":"Marie-Noelle"},{"family":"Julié","given":"Catherine"},{"family":"Jolly","given":"Nathalie"},{"family":"Taïeb","given":"Julien"},{"family":"Lamarque","given":"Dominique"},{"family":"Matondo","given":"Mariette"},{"family":"Touati","given":"Eliette"}],"accessed":{"date-parts":[["2026",2,12]]},"issued":{"date-parts":[["2025",10,17]]}}}],"schema":"https://github.com/citation-style-language/schema/raw/master/csl-citation.json"} </w:instrText>
      </w:r>
      <w:r w:rsidR="001D4C6C" w:rsidRPr="003B0A6C">
        <w:rPr>
          <w:rFonts w:asciiTheme="majorBidi" w:hAnsiTheme="majorBidi" w:cstheme="majorBidi"/>
          <w:color w:val="7030A0"/>
          <w:sz w:val="20"/>
          <w:szCs w:val="20"/>
        </w:rPr>
        <w:fldChar w:fldCharType="separate"/>
      </w:r>
      <w:r w:rsidR="001C1041" w:rsidRPr="003B0A6C">
        <w:rPr>
          <w:rFonts w:ascii="Calibri" w:hAnsi="Calibri" w:cs="Calibri"/>
          <w:sz w:val="20"/>
          <w:szCs w:val="20"/>
        </w:rPr>
        <w:t>(2)</w:t>
      </w:r>
      <w:r w:rsidR="001D4C6C" w:rsidRPr="003B0A6C">
        <w:rPr>
          <w:rFonts w:asciiTheme="majorBidi" w:hAnsiTheme="majorBidi" w:cstheme="majorBidi"/>
          <w:color w:val="7030A0"/>
          <w:sz w:val="20"/>
          <w:szCs w:val="20"/>
        </w:rPr>
        <w:fldChar w:fldCharType="end"/>
      </w:r>
      <w:r w:rsidR="001D4C6C" w:rsidRPr="003B0A6C">
        <w:rPr>
          <w:rFonts w:asciiTheme="majorBidi" w:hAnsiTheme="majorBidi" w:cstheme="majorBidi"/>
          <w:color w:val="7030A0"/>
          <w:sz w:val="20"/>
          <w:szCs w:val="20"/>
        </w:rPr>
        <w:t xml:space="preserve"> </w:t>
      </w:r>
      <w:r w:rsidR="001D4C6C" w:rsidRPr="003B0A6C">
        <w:rPr>
          <w:rFonts w:asciiTheme="majorBidi" w:hAnsiTheme="majorBidi" w:cstheme="majorBidi"/>
          <w:color w:val="7030A0"/>
          <w:sz w:val="20"/>
          <w:szCs w:val="20"/>
        </w:rPr>
        <w:fldChar w:fldCharType="begin"/>
      </w:r>
      <w:r w:rsidR="001C1041" w:rsidRPr="003B0A6C">
        <w:rPr>
          <w:rFonts w:asciiTheme="majorBidi" w:hAnsiTheme="majorBidi" w:cstheme="majorBidi"/>
          <w:color w:val="7030A0"/>
          <w:sz w:val="20"/>
          <w:szCs w:val="20"/>
        </w:rPr>
        <w:instrText xml:space="preserve"> ADDIN ZOTERO_ITEM CSL_CITATION {"citationID":"SjLv6T6w","properties":{"unsorted":false,"formattedCitation":"(3)","plainCitation":"(3)","noteIndex":0},"citationItems":[{"id":298,"uris":["http://zotero.org/users/19559117/items/DMD23MVN"],"itemData":{"id":298,"type":"article-journal","abstract":"Abstract\n            A comprehensive characterization of blood proteome profiles in cancer patients can contribute to a better understanding of the disease etiology, resulting in earlier diagnosis, risk stratification and better monitoring of the different cancer subtypes. Here, we describe the use of next generation protein profiling to explore the proteome signature in blood across patients representing many of the major cancer types. Plasma profiles of 1463 proteins from more than 1400 cancer patients are measured in minute amounts of blood collected at the time of diagnosis and before treatment. An open access Disease Blood Atlas resource allows the exploration of the individual protein profiles in blood collected from the individual cancer patients. We also present studies in which classification models based on machine learning have been used for the identification of a set of proteins associated with each of the analyzed cancers. The implication for cancer precision medicine of next generation plasma profiling is discussed.","container-title":"Nature Communications","DOI":"10.1038/s41467-023-39765-y","ISSN":"2041-1723","issue":"1","journalAbbreviation":"Nat Commun","language":"en","page":"4308","source":"DOI.org (Crossref)","title":"Next generation pan-cancer blood proteome profiling using proximity extension assay","URL":"https://www.nature.com/articles/s41467-023-39765-y","volume":"14","author":[{"family":"Álvez","given":"María Bueno"},{"family":"Edfors","given":"Fredrik"},{"family":"Von Feilitzen","given":"Kalle"},{"family":"Zwahlen","given":"Martin"},{"family":"Mardinoglu","given":"Adil"},{"family":"Edqvist","given":"Per-Henrik"},{"family":"Sjöblom","given":"Tobias"},{"family":"Lundin","given":"Emma"},{"family":"Rameika","given":"Natallia"},{"family":"Enblad","given":"Gunilla"},{"family":"Lindman","given":"Henrik"},{"family":"Höglund","given":"Martin"},{"family":"Hesselager","given":"Göran"},{"family":"Stålberg","given":"Karin"},{"family":"Enblad","given":"Malin"},{"family":"Simonson","given":"Oscar E."},{"family":"Häggman","given":"Michael"},{"family":"Axelsson","given":"Tomas"},{"family":"Åberg","given":"Mikael"},{"family":"Nordlund","given":"Jessica"},{"family":"Zhong","given":"Wen"},{"family":"Karlsson","given":"Max"},{"family":"Gyllensten","given":"Ulf"},{"family":"Ponten","given":"Fredrik"},{"family":"Fagerberg","given":"Linn"},{"family":"Uhlén","given":"Mathias"}],"accessed":{"date-parts":[["2026",2,12]]},"issued":{"date-parts":[["2023",7,18]]}}}],"schema":"https://github.com/citation-style-language/schema/raw/master/csl-citation.json"} </w:instrText>
      </w:r>
      <w:r w:rsidR="001D4C6C" w:rsidRPr="003B0A6C">
        <w:rPr>
          <w:rFonts w:asciiTheme="majorBidi" w:hAnsiTheme="majorBidi" w:cstheme="majorBidi"/>
          <w:color w:val="7030A0"/>
          <w:sz w:val="20"/>
          <w:szCs w:val="20"/>
        </w:rPr>
        <w:fldChar w:fldCharType="separate"/>
      </w:r>
      <w:r w:rsidR="001C1041" w:rsidRPr="003B0A6C">
        <w:rPr>
          <w:rFonts w:ascii="Calibri" w:hAnsi="Calibri" w:cs="Calibri"/>
          <w:sz w:val="20"/>
          <w:szCs w:val="20"/>
        </w:rPr>
        <w:t>(3)</w:t>
      </w:r>
      <w:r w:rsidR="001D4C6C" w:rsidRPr="003B0A6C">
        <w:rPr>
          <w:rFonts w:asciiTheme="majorBidi" w:hAnsiTheme="majorBidi" w:cstheme="majorBidi"/>
          <w:color w:val="7030A0"/>
          <w:sz w:val="20"/>
          <w:szCs w:val="20"/>
        </w:rPr>
        <w:fldChar w:fldCharType="end"/>
      </w:r>
      <w:r w:rsidR="001D4C6C" w:rsidRPr="003B0A6C">
        <w:rPr>
          <w:rFonts w:asciiTheme="majorBidi" w:hAnsiTheme="majorBidi" w:cstheme="majorBidi"/>
          <w:color w:val="7030A0"/>
          <w:sz w:val="20"/>
          <w:szCs w:val="20"/>
        </w:rPr>
        <w:t xml:space="preserve"> </w:t>
      </w:r>
      <w:r w:rsidR="001D4C6C" w:rsidRPr="003B0A6C">
        <w:rPr>
          <w:rFonts w:asciiTheme="majorBidi" w:hAnsiTheme="majorBidi" w:cstheme="majorBidi"/>
          <w:color w:val="7030A0"/>
          <w:sz w:val="20"/>
          <w:szCs w:val="20"/>
        </w:rPr>
        <w:fldChar w:fldCharType="begin"/>
      </w:r>
      <w:r w:rsidR="001C1041" w:rsidRPr="003B0A6C">
        <w:rPr>
          <w:rFonts w:asciiTheme="majorBidi" w:hAnsiTheme="majorBidi" w:cstheme="majorBidi"/>
          <w:color w:val="7030A0"/>
          <w:sz w:val="20"/>
          <w:szCs w:val="20"/>
        </w:rPr>
        <w:instrText xml:space="preserve"> ADDIN ZOTERO_ITEM CSL_CITATION {"citationID":"PuM7xrz1","properties":{"unsorted":false,"formattedCitation":"(4)","plainCitation":"(4)","noteIndex":0},"citationItems":[{"id":300,"uris":["http://zotero.org/users/19559117/items/MIBTMG3U"],"itemData":{"id":300,"type":"article-journal","abstract":"Cancer diagnostics based on the detection of protein biomarkers in blood has promising potential for early detection and continuous monitoring of disease. However, the currently available protein biomarkers and assay formats largely fail to live up to expectations, mainly due to insufficient diagnostic specificity. Here, we discuss what kinds of plasma proteins might prove useful as biomarkers of malignant processes in specific organs. We consider the need to search for biomarkers deep down in the lowest reaches of the proteome, below current detection levels. In this regard, we comment on the poor molecular detection sensitivity of current protein assays compared to nucleic acid detection reactions, and we discuss requirements for achieving detection of vanishingly small amounts of proteins, to ensure detection of early stages of malignant growth through liquid biopsy.","container-title":"Molecular Oncology","DOI":"10.1002/1878-0261.12809","ISSN":"1574-7891, 1878-0261","issue":"6","journalAbbreviation":"Molecular Oncology","language":"en","page":"1715-1726","source":"DOI.org (Crossref)","title":"Cancer diagnostics based on plasma protein biomarkers: hard times but great expectations","title-short":"Cancer diagnostics based on plasma protein biomarkers","URL":"https://febs.onlinelibrary.wiley.com/doi/10.1002/1878-0261.12809","volume":"15","author":[{"family":"Landegren","given":"Ulf"},{"family":"Hammond","given":"Maria"}],"accessed":{"date-parts":[["2026",2,13]]},"issued":{"date-parts":[["2021",6]]}}}],"schema":"https://github.com/citation-style-language/schema/raw/master/csl-citation.json"} </w:instrText>
      </w:r>
      <w:r w:rsidR="001D4C6C" w:rsidRPr="003B0A6C">
        <w:rPr>
          <w:rFonts w:asciiTheme="majorBidi" w:hAnsiTheme="majorBidi" w:cstheme="majorBidi"/>
          <w:color w:val="7030A0"/>
          <w:sz w:val="20"/>
          <w:szCs w:val="20"/>
        </w:rPr>
        <w:fldChar w:fldCharType="separate"/>
      </w:r>
      <w:r w:rsidR="001C1041" w:rsidRPr="003B0A6C">
        <w:rPr>
          <w:rFonts w:ascii="Calibri" w:hAnsi="Calibri" w:cs="Calibri"/>
          <w:sz w:val="20"/>
          <w:szCs w:val="20"/>
        </w:rPr>
        <w:t>(4)</w:t>
      </w:r>
      <w:r w:rsidR="001D4C6C" w:rsidRPr="003B0A6C">
        <w:rPr>
          <w:rFonts w:asciiTheme="majorBidi" w:hAnsiTheme="majorBidi" w:cstheme="majorBidi"/>
          <w:color w:val="7030A0"/>
          <w:sz w:val="20"/>
          <w:szCs w:val="20"/>
        </w:rPr>
        <w:fldChar w:fldCharType="end"/>
      </w:r>
      <w:r w:rsidR="001A609A" w:rsidRPr="003B0A6C">
        <w:rPr>
          <w:rFonts w:asciiTheme="majorBidi" w:hAnsiTheme="majorBidi" w:cstheme="majorBidi"/>
          <w:color w:val="7030A0"/>
          <w:sz w:val="20"/>
          <w:szCs w:val="20"/>
        </w:rPr>
        <w:t xml:space="preserve"> </w:t>
      </w:r>
      <w:r w:rsidRPr="003B0A6C">
        <w:rPr>
          <w:rFonts w:asciiTheme="majorBidi" w:hAnsiTheme="majorBidi" w:cstheme="majorBidi"/>
          <w:sz w:val="20"/>
          <w:szCs w:val="20"/>
        </w:rPr>
        <w:t>In addition to this, the necessity of validating plasma proteins and the caution against relying only on this approach have been emphasized</w:t>
      </w:r>
      <w:r w:rsidR="00406446" w:rsidRPr="003B0A6C">
        <w:rPr>
          <w:rFonts w:asciiTheme="majorBidi" w:hAnsiTheme="majorBidi" w:cstheme="majorBidi"/>
          <w:sz w:val="20"/>
          <w:szCs w:val="20"/>
        </w:rPr>
        <w:t>.</w:t>
      </w:r>
      <w:r w:rsidRPr="003B0A6C">
        <w:rPr>
          <w:rFonts w:asciiTheme="majorBidi" w:hAnsiTheme="majorBidi" w:cstheme="majorBidi"/>
          <w:sz w:val="20"/>
          <w:szCs w:val="20"/>
        </w:rPr>
        <w:t xml:space="preserve"> </w:t>
      </w:r>
      <w:r w:rsidR="001D4C6C" w:rsidRPr="003B0A6C">
        <w:rPr>
          <w:rFonts w:asciiTheme="majorBidi" w:hAnsiTheme="majorBidi" w:cstheme="majorBidi"/>
          <w:color w:val="7030A0"/>
          <w:sz w:val="20"/>
          <w:szCs w:val="20"/>
          <w:lang w:bidi="fa-IR"/>
        </w:rPr>
        <w:fldChar w:fldCharType="begin"/>
      </w:r>
      <w:r w:rsidR="001C1041" w:rsidRPr="003B0A6C">
        <w:rPr>
          <w:rFonts w:asciiTheme="majorBidi" w:hAnsiTheme="majorBidi" w:cstheme="majorBidi"/>
          <w:color w:val="7030A0"/>
          <w:sz w:val="20"/>
          <w:szCs w:val="20"/>
          <w:lang w:bidi="fa-IR"/>
        </w:rPr>
        <w:instrText xml:space="preserve"> ADDIN ZOTERO_ITEM CSL_CITATION {"citationID":"UQrBpYDU","properties":{"unsorted":false,"formattedCitation":"(1)","plainCitation":"(1)","noteIndex":0},"citationItems":[{"id":283,"uris":["http://zotero.org/users/19559117/items/FXKW9RL3"],"itemData":{"id":283,"type":"article-journal","abstract":"Background and methods: Inflammation is a hallmark of cancer and its progression. Plasma levels of C-reactive protein (CRP), interleukin-6 (IL-6) and YKL-40 reflect inflammation, and are elevated in patients with cancer. This study investigated whether plasma CRP, IL-6 and YKL-40 had diagnostic value in 753 patients referred with nonspecific signs and symptoms of cancer to a diagnostic outpatient clinic.\nResults: In total, 111 patients were diagnosed with cancer within 3 months and 30 after 3 months. CRP, IL-6 and YKL-40 were elevated in 44%, 60% and 45% of the cancer patients, and in 15%, 33% and 25% of the patients without cancer. Elevated levels of all three markers were associated with risk of cancer within 3 months: CRP (odds ratio (OR) 4.41, 95% confidence interval (CI) 2.86–6.81), IL-6 (OR = 2.89, 1.91–4.37) and YKL-40 (OR = 2.42, 1.59–3.66). Multivariate explorative analyses showed that increasing values were associated with the risk of getting a cancer diagnosis (continuous scale: CRP (OR = 1.28, 1.12–1.47), carcinoembryonic antigen (CEA) (OR = 1.61, 1.41–1.98), CA19-9 (OR = 1.15, 1.03–1.29), age (OR = 1.29, 1.02–1.63); dichotomized values: CRP (OR = 2.54, 1.39–4.66), CEA (OR = 4.22, 2.13–8.34), age (OR = 1.42, 1.13–1.80)). CRP had the highest diagnostic value (area under the curve = 0.69). Combined high CRP, IL-6 and YKL-40 was associated with short overall survival (HR = 3.8, 95% CI 2.5–5.9, p &lt; 0.001).\nConclusion: In conclusion, plasma CRP, IL-6 and YKL-40 alone or combined cannot be used to identify patients with cancer, but high levels were associated with poor prognosis. CRP may be useful to indicate whether further diagnostic evaluation is needed when patients present with nonspecific signs and symptoms of cancer.","container-title":"Cancer Medicine","DOI":"10.1002/cam4.5455","ISSN":"2045-7634, 2045-7634","issue":"6","journalAbbreviation":"Cancer Medicine","language":"en","page":"6675-6688","source":"DOI.org (Crossref)","title":"Combined plasma C‐reactive protein, interleukin 6 and &lt;span style=\"font-variant:small-caps;\"&gt;YKL&lt;/span&gt; ‐40 for detection of cancer and prognosis in patients with serious nonspecific symptoms and signs of cancer","title-short":"Combined plasma C‐reactive protein, interleukin 6 and &lt;span style=\"font-variant","URL":"https://onlinelibrary.wiley.com/doi/10.1002/cam4.5455","volume":"12","author":[{"family":"Videmark","given":"Alex N."},{"family":"Christensen","given":"Ib J."},{"family":"Feltoft","given":"Claus L."},{"family":"Villadsen","given":"Mette"},{"family":"Borg","given":"Frederikke H."},{"family":"Jørgensen","given":"Barbara M."},{"family":"Bojesen","given":"Stig E."},{"family":"Kistorp","given":"Caroline"},{"family":"Ugleholdt","given":"Randi"},{"family":"Johansen","given":"Julia S."}],"accessed":{"date-parts":[["2026",2,12]]},"issued":{"date-parts":[["2023",3]]}}}],"schema":"https://github.com/citation-style-language/schema/raw/master/csl-citation.json"} </w:instrText>
      </w:r>
      <w:r w:rsidR="001D4C6C" w:rsidRPr="003B0A6C">
        <w:rPr>
          <w:rFonts w:asciiTheme="majorBidi" w:hAnsiTheme="majorBidi" w:cstheme="majorBidi"/>
          <w:color w:val="7030A0"/>
          <w:sz w:val="20"/>
          <w:szCs w:val="20"/>
          <w:lang w:bidi="fa-IR"/>
        </w:rPr>
        <w:fldChar w:fldCharType="separate"/>
      </w:r>
      <w:r w:rsidR="001C1041" w:rsidRPr="003B0A6C">
        <w:rPr>
          <w:rFonts w:ascii="Calibri" w:hAnsi="Calibri" w:cs="Calibri"/>
          <w:sz w:val="20"/>
          <w:szCs w:val="20"/>
        </w:rPr>
        <w:t>(1)</w:t>
      </w:r>
      <w:r w:rsidR="001D4C6C" w:rsidRPr="003B0A6C">
        <w:rPr>
          <w:rFonts w:asciiTheme="majorBidi" w:hAnsiTheme="majorBidi" w:cstheme="majorBidi"/>
          <w:color w:val="7030A0"/>
          <w:sz w:val="20"/>
          <w:szCs w:val="20"/>
          <w:lang w:bidi="fa-IR"/>
        </w:rPr>
        <w:fldChar w:fldCharType="end"/>
      </w:r>
      <w:r w:rsidR="0082385E" w:rsidRPr="003B0A6C">
        <w:rPr>
          <w:rFonts w:asciiTheme="majorBidi" w:hAnsiTheme="majorBidi" w:cstheme="majorBidi"/>
          <w:color w:val="7030A0"/>
          <w:sz w:val="20"/>
          <w:szCs w:val="20"/>
          <w:lang w:bidi="fa-IR"/>
        </w:rPr>
        <w:t xml:space="preserve"> </w:t>
      </w:r>
      <w:r w:rsidRPr="003B0A6C">
        <w:rPr>
          <w:rFonts w:asciiTheme="majorBidi" w:hAnsiTheme="majorBidi" w:cstheme="majorBidi"/>
          <w:sz w:val="20"/>
          <w:szCs w:val="20"/>
        </w:rPr>
        <w:t xml:space="preserve">Despite the above-mentioned limitations, plasma protein profiling for cancer diagnosis has </w:t>
      </w:r>
      <w:r w:rsidR="00681E77" w:rsidRPr="003B0A6C">
        <w:rPr>
          <w:rFonts w:asciiTheme="majorBidi" w:hAnsiTheme="majorBidi" w:cstheme="majorBidi"/>
          <w:sz w:val="20"/>
          <w:szCs w:val="20"/>
        </w:rPr>
        <w:t>represented</w:t>
      </w:r>
      <w:r w:rsidR="00191DE6" w:rsidRPr="003B0A6C">
        <w:rPr>
          <w:rFonts w:asciiTheme="majorBidi" w:hAnsiTheme="majorBidi" w:cstheme="majorBidi"/>
          <w:sz w:val="20"/>
          <w:szCs w:val="20"/>
        </w:rPr>
        <w:t xml:space="preserve"> </w:t>
      </w:r>
      <w:r w:rsidRPr="003B0A6C">
        <w:rPr>
          <w:rFonts w:asciiTheme="majorBidi" w:hAnsiTheme="majorBidi" w:cstheme="majorBidi"/>
          <w:sz w:val="20"/>
          <w:szCs w:val="20"/>
        </w:rPr>
        <w:t>promising results</w:t>
      </w:r>
      <w:r w:rsidR="005673CF" w:rsidRPr="003B0A6C">
        <w:rPr>
          <w:rFonts w:asciiTheme="majorBidi" w:hAnsiTheme="majorBidi" w:cstheme="majorBidi"/>
          <w:sz w:val="20"/>
          <w:szCs w:val="20"/>
        </w:rPr>
        <w:t>.</w:t>
      </w:r>
      <w:r w:rsidRPr="003B0A6C">
        <w:rPr>
          <w:rFonts w:asciiTheme="majorBidi" w:hAnsiTheme="majorBidi" w:cstheme="majorBidi"/>
          <w:color w:val="7030A0"/>
          <w:sz w:val="20"/>
          <w:szCs w:val="20"/>
        </w:rPr>
        <w:t xml:space="preserve"> </w:t>
      </w:r>
      <w:r w:rsidR="001D4C6C" w:rsidRPr="003B0A6C">
        <w:rPr>
          <w:rFonts w:asciiTheme="majorBidi" w:hAnsiTheme="majorBidi" w:cstheme="majorBidi"/>
          <w:color w:val="7030A0"/>
          <w:sz w:val="20"/>
          <w:szCs w:val="20"/>
        </w:rPr>
        <w:fldChar w:fldCharType="begin"/>
      </w:r>
      <w:r w:rsidR="001C1041" w:rsidRPr="003B0A6C">
        <w:rPr>
          <w:rFonts w:asciiTheme="majorBidi" w:hAnsiTheme="majorBidi" w:cstheme="majorBidi"/>
          <w:color w:val="7030A0"/>
          <w:sz w:val="20"/>
          <w:szCs w:val="20"/>
        </w:rPr>
        <w:instrText xml:space="preserve"> ADDIN ZOTERO_ITEM CSL_CITATION {"citationID":"dEd1eLAy","properties":{"unsorted":false,"formattedCitation":"(1)","plainCitation":"(1)","noteIndex":0},"citationItems":[{"id":283,"uris":["http://zotero.org/users/19559117/items/FXKW9RL3"],"itemData":{"id":283,"type":"article-journal","abstract":"Background and methods: Inflammation is a hallmark of cancer and its progression. Plasma levels of C-reactive protein (CRP), interleukin-6 (IL-6) and YKL-40 reflect inflammation, and are elevated in patients with cancer. This study investigated whether plasma CRP, IL-6 and YKL-40 had diagnostic value in 753 patients referred with nonspecific signs and symptoms of cancer to a diagnostic outpatient clinic.\nResults: In total, 111 patients were diagnosed with cancer within 3 months and 30 after 3 months. CRP, IL-6 and YKL-40 were elevated in 44%, 60% and 45% of the cancer patients, and in 15%, 33% and 25% of the patients without cancer. Elevated levels of all three markers were associated with risk of cancer within 3 months: CRP (odds ratio (OR) 4.41, 95% confidence interval (CI) 2.86–6.81), IL-6 (OR = 2.89, 1.91–4.37) and YKL-40 (OR = 2.42, 1.59–3.66). Multivariate explorative analyses showed that increasing values were associated with the risk of getting a cancer diagnosis (continuous scale: CRP (OR = 1.28, 1.12–1.47), carcinoembryonic antigen (CEA) (OR = 1.61, 1.41–1.98), CA19-9 (OR = 1.15, 1.03–1.29), age (OR = 1.29, 1.02–1.63); dichotomized values: CRP (OR = 2.54, 1.39–4.66), CEA (OR = 4.22, 2.13–8.34), age (OR = 1.42, 1.13–1.80)). CRP had the highest diagnostic value (area under the curve = 0.69). Combined high CRP, IL-6 and YKL-40 was associated with short overall survival (HR = 3.8, 95% CI 2.5–5.9, p &lt; 0.001).\nConclusion: In conclusion, plasma CRP, IL-6 and YKL-40 alone or combined cannot be used to identify patients with cancer, but high levels were associated with poor prognosis. CRP may be useful to indicate whether further diagnostic evaluation is needed when patients present with nonspecific signs and symptoms of cancer.","container-title":"Cancer Medicine","DOI":"10.1002/cam4.5455","ISSN":"2045-7634, 2045-7634","issue":"6","journalAbbreviation":"Cancer Medicine","language":"en","page":"6675-6688","source":"DOI.org (Crossref)","title":"Combined plasma C‐reactive protein, interleukin 6 and &lt;span style=\"font-variant:small-caps;\"&gt;YKL&lt;/span&gt; ‐40 for detection of cancer and prognosis in patients with serious nonspecific symptoms and signs of cancer","title-short":"Combined plasma C‐reactive protein, interleukin 6 and &lt;span style=\"font-variant","URL":"https://onlinelibrary.wiley.com/doi/10.1002/cam4.5455","volume":"12","author":[{"family":"Videmark","given":"Alex N."},{"family":"Christensen","given":"Ib J."},{"family":"Feltoft","given":"Claus L."},{"family":"Villadsen","given":"Mette"},{"family":"Borg","given":"Frederikke H."},{"family":"Jørgensen","given":"Barbara M."},{"family":"Bojesen","given":"Stig E."},{"family":"Kistorp","given":"Caroline"},{"family":"Ugleholdt","given":"Randi"},{"family":"Johansen","given":"Julia S."}],"accessed":{"date-parts":[["2026",2,12]]},"issued":{"date-parts":[["2023",3]]}}}],"schema":"https://github.com/citation-style-language/schema/raw/master/csl-citation.json"} </w:instrText>
      </w:r>
      <w:r w:rsidR="001D4C6C" w:rsidRPr="003B0A6C">
        <w:rPr>
          <w:rFonts w:asciiTheme="majorBidi" w:hAnsiTheme="majorBidi" w:cstheme="majorBidi"/>
          <w:color w:val="7030A0"/>
          <w:sz w:val="20"/>
          <w:szCs w:val="20"/>
        </w:rPr>
        <w:fldChar w:fldCharType="separate"/>
      </w:r>
      <w:r w:rsidR="001C1041" w:rsidRPr="003B0A6C">
        <w:rPr>
          <w:rFonts w:ascii="Calibri" w:hAnsi="Calibri" w:cs="Calibri"/>
          <w:sz w:val="20"/>
          <w:szCs w:val="20"/>
        </w:rPr>
        <w:t>(1)</w:t>
      </w:r>
      <w:r w:rsidR="001D4C6C" w:rsidRPr="003B0A6C">
        <w:rPr>
          <w:rFonts w:asciiTheme="majorBidi" w:hAnsiTheme="majorBidi" w:cstheme="majorBidi"/>
          <w:color w:val="7030A0"/>
          <w:sz w:val="20"/>
          <w:szCs w:val="20"/>
        </w:rPr>
        <w:fldChar w:fldCharType="end"/>
      </w:r>
      <w:r w:rsidR="001D4C6C" w:rsidRPr="003B0A6C">
        <w:rPr>
          <w:rFonts w:asciiTheme="majorBidi" w:hAnsiTheme="majorBidi" w:cstheme="majorBidi"/>
          <w:color w:val="7030A0"/>
          <w:sz w:val="20"/>
          <w:szCs w:val="20"/>
        </w:rPr>
        <w:t xml:space="preserve"> </w:t>
      </w:r>
      <w:r w:rsidR="001D4C6C" w:rsidRPr="003B0A6C">
        <w:rPr>
          <w:rFonts w:asciiTheme="majorBidi" w:hAnsiTheme="majorBidi" w:cstheme="majorBidi"/>
          <w:color w:val="7030A0"/>
          <w:sz w:val="20"/>
          <w:szCs w:val="20"/>
        </w:rPr>
        <w:fldChar w:fldCharType="begin"/>
      </w:r>
      <w:r w:rsidR="001C1041" w:rsidRPr="003B0A6C">
        <w:rPr>
          <w:rFonts w:asciiTheme="majorBidi" w:hAnsiTheme="majorBidi" w:cstheme="majorBidi"/>
          <w:color w:val="7030A0"/>
          <w:sz w:val="20"/>
          <w:szCs w:val="20"/>
        </w:rPr>
        <w:instrText xml:space="preserve"> ADDIN ZOTERO_ITEM CSL_CITATION {"citationID":"SzaSAQfG","properties":{"unsorted":false,"formattedCitation":"(3)","plainCitation":"(3)","noteIndex":0},"citationItems":[{"id":298,"uris":["http://zotero.org/users/19559117/items/DMD23MVN"],"itemData":{"id":298,"type":"article-journal","abstract":"Abstract\n            A comprehensive characterization of blood proteome profiles in cancer patients can contribute to a better understanding of the disease etiology, resulting in earlier diagnosis, risk stratification and better monitoring of the different cancer subtypes. Here, we describe the use of next generation protein profiling to explore the proteome signature in blood across patients representing many of the major cancer types. Plasma profiles of 1463 proteins from more than 1400 cancer patients are measured in minute amounts of blood collected at the time of diagnosis and before treatment. An open access Disease Blood Atlas resource allows the exploration of the individual protein profiles in blood collected from the individual cancer patients. We also present studies in which classification models based on machine learning have been used for the identification of a set of proteins associated with each of the analyzed cancers. The implication for cancer precision medicine of next generation plasma profiling is discussed.","container-title":"Nature Communications","DOI":"10.1038/s41467-023-39765-y","ISSN":"2041-1723","issue":"1","journalAbbreviation":"Nat Commun","language":"en","page":"4308","source":"DOI.org (Crossref)","title":"Next generation pan-cancer blood proteome profiling using proximity extension assay","URL":"https://www.nature.com/articles/s41467-023-39765-y","volume":"14","author":[{"family":"Álvez","given":"María Bueno"},{"family":"Edfors","given":"Fredrik"},{"family":"Von Feilitzen","given":"Kalle"},{"family":"Zwahlen","given":"Martin"},{"family":"Mardinoglu","given":"Adil"},{"family":"Edqvist","given":"Per-Henrik"},{"family":"Sjöblom","given":"Tobias"},{"family":"Lundin","given":"Emma"},{"family":"Rameika","given":"Natallia"},{"family":"Enblad","given":"Gunilla"},{"family":"Lindman","given":"Henrik"},{"family":"Höglund","given":"Martin"},{"family":"Hesselager","given":"Göran"},{"family":"Stålberg","given":"Karin"},{"family":"Enblad","given":"Malin"},{"family":"Simonson","given":"Oscar E."},{"family":"Häggman","given":"Michael"},{"family":"Axelsson","given":"Tomas"},{"family":"Åberg","given":"Mikael"},{"family":"Nordlund","given":"Jessica"},{"family":"Zhong","given":"Wen"},{"family":"Karlsson","given":"Max"},{"family":"Gyllensten","given":"Ulf"},{"family":"Ponten","given":"Fredrik"},{"family":"Fagerberg","given":"Linn"},{"family":"Uhlén","given":"Mathias"}],"accessed":{"date-parts":[["2026",2,12]]},"issued":{"date-parts":[["2023",7,18]]}}}],"schema":"https://github.com/citation-style-language/schema/raw/master/csl-citation.json"} </w:instrText>
      </w:r>
      <w:r w:rsidR="001D4C6C" w:rsidRPr="003B0A6C">
        <w:rPr>
          <w:rFonts w:asciiTheme="majorBidi" w:hAnsiTheme="majorBidi" w:cstheme="majorBidi"/>
          <w:color w:val="7030A0"/>
          <w:sz w:val="20"/>
          <w:szCs w:val="20"/>
        </w:rPr>
        <w:fldChar w:fldCharType="separate"/>
      </w:r>
      <w:r w:rsidR="001C1041" w:rsidRPr="003B0A6C">
        <w:rPr>
          <w:rFonts w:ascii="Calibri" w:hAnsi="Calibri" w:cs="Calibri"/>
          <w:sz w:val="20"/>
          <w:szCs w:val="20"/>
        </w:rPr>
        <w:t>(3)</w:t>
      </w:r>
      <w:r w:rsidR="001D4C6C" w:rsidRPr="003B0A6C">
        <w:rPr>
          <w:rFonts w:asciiTheme="majorBidi" w:hAnsiTheme="majorBidi" w:cstheme="majorBidi"/>
          <w:color w:val="7030A0"/>
          <w:sz w:val="20"/>
          <w:szCs w:val="20"/>
        </w:rPr>
        <w:fldChar w:fldCharType="end"/>
      </w:r>
      <w:r w:rsidR="001D4C6C" w:rsidRPr="003B0A6C">
        <w:rPr>
          <w:rFonts w:asciiTheme="majorBidi" w:hAnsiTheme="majorBidi" w:cstheme="majorBidi"/>
          <w:color w:val="7030A0"/>
          <w:sz w:val="20"/>
          <w:szCs w:val="20"/>
        </w:rPr>
        <w:t xml:space="preserve"> </w:t>
      </w:r>
      <w:r w:rsidRPr="003B0A6C">
        <w:rPr>
          <w:rFonts w:asciiTheme="majorBidi" w:hAnsiTheme="majorBidi" w:cstheme="majorBidi"/>
          <w:sz w:val="20"/>
          <w:szCs w:val="20"/>
        </w:rPr>
        <w:t xml:space="preserve">In the </w:t>
      </w:r>
      <w:proofErr w:type="spellStart"/>
      <w:r w:rsidRPr="003B0A6C">
        <w:rPr>
          <w:rFonts w:asciiTheme="majorBidi" w:hAnsiTheme="majorBidi" w:cstheme="majorBidi"/>
          <w:sz w:val="20"/>
          <w:szCs w:val="20"/>
        </w:rPr>
        <w:t>Wannberg</w:t>
      </w:r>
      <w:proofErr w:type="spellEnd"/>
      <w:r w:rsidRPr="003B0A6C">
        <w:rPr>
          <w:rFonts w:asciiTheme="majorBidi" w:hAnsiTheme="majorBidi" w:cstheme="majorBidi"/>
          <w:sz w:val="20"/>
          <w:szCs w:val="20"/>
        </w:rPr>
        <w:t xml:space="preserve"> study, </w:t>
      </w:r>
      <w:r w:rsidR="001C1041" w:rsidRPr="003B0A6C">
        <w:rPr>
          <w:rFonts w:asciiTheme="majorBidi" w:hAnsiTheme="majorBidi" w:cstheme="majorBidi"/>
          <w:sz w:val="20"/>
          <w:szCs w:val="20"/>
        </w:rPr>
        <w:fldChar w:fldCharType="begin"/>
      </w:r>
      <w:r w:rsidR="001C1041" w:rsidRPr="003B0A6C">
        <w:rPr>
          <w:rFonts w:asciiTheme="majorBidi" w:hAnsiTheme="majorBidi" w:cstheme="majorBidi"/>
          <w:sz w:val="20"/>
          <w:szCs w:val="20"/>
        </w:rPr>
        <w:instrText xml:space="preserve"> ADDIN ZOTERO_ITEM CSL_CITATION {"citationID":"TzXzkWdm","properties":{"unsorted":false,"formattedCitation":"(5)","plainCitation":"(5)","noteIndex":0},"citationItems":[{"id":2,"uris":["http://zotero.org/users/19559117/items/AYVWK7IR"],"itemData":{"id":2,"type":"article-journal","abstract":"Abstract\n            Cancer detection is challenging, especially in patients with diffuse symptoms that overlap with non-malignant conditions. Here we show that plasma protein profiling can identify cancer among patients with non-specific symptoms. Using proximity extension assay-based proteomics of 1463 plasma proteins from 456 patients presenting with non-specific symptoms sampled prior to cancer diagnostic work-up and diagnosis, we identify 29 proteins associated with new cancer diagnoses. We develop a model able to stratify 160 cancer cases and 296 non-cancer cases with an area under the curve of 0.80, maintaining performance (0.82) in an independent replication cohort of 238 patients. The model also distinguishes cancer from autoimmune, inflammatory and infectious diseases. Designed as a triage tool, our model based on a blood test could help prioritize patients at higher cancer risk for rapid and highly sensitive diagnostic modalities such as positron emission tomography–computed tomography. These findings emphasize the potential of blood proteome profiling to support timely diagnosis and transform clinical medicine.","container-title":"Nature Communications","DOI":"10.1038/s41467-025-67688-3","ISSN":"2041-1723","issue":"1","journalAbbreviation":"Nat Commun","language":"en","page":"151","source":"DOI.org (Crossref)","title":"Plasma protein profiling predicts cancer in patients with non-specific symptoms","URL":"https://www.nature.com/articles/s41467-025-67688-3","volume":"17","author":[{"family":"Wannberg","given":"Fredrika"},{"family":"Álvez","given":"María Bueno"},{"family":"Qvick","given":"Alvida"},{"family":"Pongracz","given":"Tamas"},{"family":"Aguilera","given":"Katherina"},{"family":"Adolfsson","given":"Emma"},{"family":"Essehorn","given":"Louise"},{"family":"Gordon","given":"Max"},{"family":"Uhlén","given":"Mathias"},{"family":"Helenius","given":"Gisela"},{"family":"Hjalmar","given":"Viktoria"},{"family":"Åberg","given":"Mikael"},{"family":"Rosell","given":"Axel"},{"family":"Thålin","given":"Charlotte"}],"accessed":{"date-parts":[["2026",2,4]]},"issued":{"date-parts":[["2025",12,29]]}}}],"schema":"https://github.com/citation-style-language/schema/raw/master/csl-citation.json"} </w:instrText>
      </w:r>
      <w:r w:rsidR="001C1041" w:rsidRPr="003B0A6C">
        <w:rPr>
          <w:rFonts w:asciiTheme="majorBidi" w:hAnsiTheme="majorBidi" w:cstheme="majorBidi"/>
          <w:sz w:val="20"/>
          <w:szCs w:val="20"/>
        </w:rPr>
        <w:fldChar w:fldCharType="separate"/>
      </w:r>
      <w:r w:rsidR="001C1041" w:rsidRPr="003B0A6C">
        <w:rPr>
          <w:rFonts w:ascii="Calibri" w:hAnsi="Calibri" w:cs="Calibri"/>
          <w:sz w:val="20"/>
          <w:szCs w:val="20"/>
        </w:rPr>
        <w:t>(5)</w:t>
      </w:r>
      <w:r w:rsidR="001C1041" w:rsidRPr="003B0A6C">
        <w:rPr>
          <w:rFonts w:asciiTheme="majorBidi" w:hAnsiTheme="majorBidi" w:cstheme="majorBidi"/>
          <w:sz w:val="20"/>
          <w:szCs w:val="20"/>
        </w:rPr>
        <w:fldChar w:fldCharType="end"/>
      </w:r>
      <w:r w:rsidR="001C1041" w:rsidRPr="003B0A6C">
        <w:rPr>
          <w:rFonts w:asciiTheme="majorBidi" w:hAnsiTheme="majorBidi" w:cstheme="majorBidi"/>
          <w:sz w:val="20"/>
          <w:szCs w:val="20"/>
        </w:rPr>
        <w:t xml:space="preserve"> </w:t>
      </w:r>
      <w:r w:rsidR="00E5656D" w:rsidRPr="003B0A6C">
        <w:rPr>
          <w:rFonts w:asciiTheme="majorBidi" w:hAnsiTheme="majorBidi" w:cstheme="majorBidi"/>
          <w:sz w:val="20"/>
          <w:szCs w:val="20"/>
        </w:rPr>
        <w:t>The</w:t>
      </w:r>
      <w:r w:rsidRPr="003B0A6C">
        <w:rPr>
          <w:rFonts w:asciiTheme="majorBidi" w:hAnsiTheme="majorBidi" w:cstheme="majorBidi"/>
          <w:sz w:val="20"/>
          <w:szCs w:val="20"/>
        </w:rPr>
        <w:t xml:space="preserve"> strength of the technique in diagnosing </w:t>
      </w:r>
      <w:r w:rsidR="007F124C" w:rsidRPr="003B0A6C">
        <w:rPr>
          <w:rFonts w:asciiTheme="majorBidi" w:hAnsiTheme="majorBidi" w:cstheme="majorBidi"/>
          <w:sz w:val="20"/>
          <w:szCs w:val="20"/>
        </w:rPr>
        <w:t xml:space="preserve">160 malignancies and 296 non-malignant conditions </w:t>
      </w:r>
      <w:r w:rsidRPr="003B0A6C">
        <w:rPr>
          <w:rFonts w:asciiTheme="majorBidi" w:hAnsiTheme="majorBidi" w:cstheme="majorBidi"/>
          <w:sz w:val="20"/>
          <w:szCs w:val="20"/>
        </w:rPr>
        <w:t>is also effectively demonstrated</w:t>
      </w:r>
      <w:r w:rsidR="005673CF" w:rsidRPr="003B0A6C">
        <w:rPr>
          <w:rFonts w:asciiTheme="majorBidi" w:hAnsiTheme="majorBidi" w:cstheme="majorBidi"/>
          <w:sz w:val="20"/>
          <w:szCs w:val="20"/>
        </w:rPr>
        <w:t>.</w:t>
      </w:r>
      <w:r w:rsidRPr="003B0A6C">
        <w:rPr>
          <w:rFonts w:asciiTheme="majorBidi" w:hAnsiTheme="majorBidi" w:cstheme="majorBidi"/>
          <w:sz w:val="20"/>
          <w:szCs w:val="20"/>
        </w:rPr>
        <w:t xml:space="preserve"> </w:t>
      </w:r>
      <w:r w:rsidR="001D4C6C" w:rsidRPr="003B0A6C">
        <w:rPr>
          <w:rFonts w:asciiTheme="majorBidi" w:hAnsiTheme="majorBidi" w:cstheme="majorBidi"/>
          <w:sz w:val="20"/>
          <w:szCs w:val="20"/>
        </w:rPr>
        <w:fldChar w:fldCharType="begin"/>
      </w:r>
      <w:r w:rsidR="001C1041" w:rsidRPr="003B0A6C">
        <w:rPr>
          <w:rFonts w:asciiTheme="majorBidi" w:hAnsiTheme="majorBidi" w:cstheme="majorBidi"/>
          <w:sz w:val="20"/>
          <w:szCs w:val="20"/>
        </w:rPr>
        <w:instrText xml:space="preserve"> ADDIN ZOTERO_ITEM CSL_CITATION {"citationID":"zMoFllW7","properties":{"unsorted":false,"formattedCitation":"(5)","plainCitation":"(5)","noteIndex":0},"citationItems":[{"id":2,"uris":["http://zotero.org/users/19559117/items/AYVWK7IR"],"itemData":{"id":2,"type":"article-journal","abstract":"Abstract\n            Cancer detection is challenging, especially in patients with diffuse symptoms that overlap with non-malignant conditions. Here we show that plasma protein profiling can identify cancer among patients with non-specific symptoms. Using proximity extension assay-based proteomics of 1463 plasma proteins from 456 patients presenting with non-specific symptoms sampled prior to cancer diagnostic work-up and diagnosis, we identify 29 proteins associated with new cancer diagnoses. We develop a model able to stratify 160 cancer cases and 296 non-cancer cases with an area under the curve of 0.80, maintaining performance (0.82) in an independent replication cohort of 238 patients. The model also distinguishes cancer from autoimmune, inflammatory and infectious diseases. Designed as a triage tool, our model based on a blood test could help prioritize patients at higher cancer risk for rapid and highly sensitive diagnostic modalities such as positron emission tomography–computed tomography. These findings emphasize the potential of blood proteome profiling to support timely diagnosis and transform clinical medicine.","container-title":"Nature Communications","DOI":"10.1038/s41467-025-67688-3","ISSN":"2041-1723","issue":"1","journalAbbreviation":"Nat Commun","language":"en","page":"151","source":"DOI.org (Crossref)","title":"Plasma protein profiling predicts cancer in patients with non-specific symptoms","URL":"https://www.nature.com/articles/s41467-025-67688-3","volume":"17","author":[{"family":"Wannberg","given":"Fredrika"},{"family":"Álvez","given":"María Bueno"},{"family":"Qvick","given":"Alvida"},{"family":"Pongracz","given":"Tamas"},{"family":"Aguilera","given":"Katherina"},{"family":"Adolfsson","given":"Emma"},{"family":"Essehorn","given":"Louise"},{"family":"Gordon","given":"Max"},{"family":"Uhlén","given":"Mathias"},{"family":"Helenius","given":"Gisela"},{"family":"Hjalmar","given":"Viktoria"},{"family":"Åberg","given":"Mikael"},{"family":"Rosell","given":"Axel"},{"family":"Thålin","given":"Charlotte"}],"accessed":{"date-parts":[["2026",2,4]]},"issued":{"date-parts":[["2025",12,29]]}}}],"schema":"https://github.com/citation-style-language/schema/raw/master/csl-citation.json"} </w:instrText>
      </w:r>
      <w:r w:rsidR="001D4C6C" w:rsidRPr="003B0A6C">
        <w:rPr>
          <w:rFonts w:asciiTheme="majorBidi" w:hAnsiTheme="majorBidi" w:cstheme="majorBidi"/>
          <w:sz w:val="20"/>
          <w:szCs w:val="20"/>
        </w:rPr>
        <w:fldChar w:fldCharType="separate"/>
      </w:r>
      <w:r w:rsidR="001C1041" w:rsidRPr="003B0A6C">
        <w:rPr>
          <w:rFonts w:ascii="Calibri" w:hAnsi="Calibri" w:cs="Calibri"/>
          <w:sz w:val="20"/>
          <w:szCs w:val="20"/>
        </w:rPr>
        <w:t>(5)</w:t>
      </w:r>
      <w:r w:rsidR="001D4C6C" w:rsidRPr="003B0A6C">
        <w:rPr>
          <w:rFonts w:asciiTheme="majorBidi" w:hAnsiTheme="majorBidi" w:cstheme="majorBidi"/>
          <w:sz w:val="20"/>
          <w:szCs w:val="20"/>
        </w:rPr>
        <w:fldChar w:fldCharType="end"/>
      </w:r>
      <w:r w:rsidR="00676B56" w:rsidRPr="003B0A6C">
        <w:rPr>
          <w:rFonts w:asciiTheme="majorBidi" w:hAnsiTheme="majorBidi" w:cstheme="majorBidi"/>
          <w:sz w:val="20"/>
          <w:szCs w:val="20"/>
        </w:rPr>
        <w:t xml:space="preserve"> </w:t>
      </w:r>
      <w:r w:rsidR="003156DF" w:rsidRPr="003B0A6C">
        <w:rPr>
          <w:rFonts w:asciiTheme="majorBidi" w:hAnsiTheme="majorBidi" w:cstheme="majorBidi"/>
          <w:sz w:val="20"/>
          <w:szCs w:val="20"/>
        </w:rPr>
        <w:t xml:space="preserve">In this report, </w:t>
      </w:r>
      <w:r w:rsidR="00093BFC" w:rsidRPr="003B0A6C">
        <w:rPr>
          <w:rFonts w:asciiTheme="majorBidi" w:hAnsiTheme="majorBidi" w:cstheme="majorBidi"/>
          <w:sz w:val="20"/>
          <w:szCs w:val="20"/>
        </w:rPr>
        <w:t xml:space="preserve">the </w:t>
      </w:r>
      <w:r w:rsidR="005D7577" w:rsidRPr="003B0A6C">
        <w:rPr>
          <w:rFonts w:asciiTheme="majorBidi" w:hAnsiTheme="majorBidi" w:cstheme="majorBidi"/>
          <w:sz w:val="20"/>
          <w:szCs w:val="20"/>
        </w:rPr>
        <w:t>method</w:t>
      </w:r>
      <w:r w:rsidR="00FF20F5" w:rsidRPr="003B0A6C">
        <w:rPr>
          <w:rFonts w:asciiTheme="majorBidi" w:hAnsiTheme="majorBidi" w:cstheme="majorBidi"/>
          <w:sz w:val="20"/>
          <w:szCs w:val="20"/>
        </w:rPr>
        <w:t xml:space="preserve">ology </w:t>
      </w:r>
      <w:r w:rsidR="005D7577" w:rsidRPr="003B0A6C">
        <w:rPr>
          <w:rFonts w:asciiTheme="majorBidi" w:hAnsiTheme="majorBidi" w:cstheme="majorBidi"/>
          <w:sz w:val="20"/>
          <w:szCs w:val="20"/>
        </w:rPr>
        <w:t xml:space="preserve">of this technique </w:t>
      </w:r>
      <w:r w:rsidR="00490960" w:rsidRPr="003B0A6C">
        <w:rPr>
          <w:rFonts w:asciiTheme="majorBidi" w:hAnsiTheme="majorBidi" w:cstheme="majorBidi"/>
          <w:sz w:val="20"/>
          <w:szCs w:val="20"/>
        </w:rPr>
        <w:t xml:space="preserve">will be </w:t>
      </w:r>
      <w:r w:rsidR="005D7577" w:rsidRPr="003B0A6C">
        <w:rPr>
          <w:rFonts w:asciiTheme="majorBidi" w:hAnsiTheme="majorBidi" w:cstheme="majorBidi"/>
          <w:sz w:val="20"/>
          <w:szCs w:val="20"/>
        </w:rPr>
        <w:t>described.</w:t>
      </w:r>
    </w:p>
    <w:p w14:paraId="3481C732" w14:textId="708FBAD6" w:rsidR="00A20BFD" w:rsidRPr="004C5B88" w:rsidRDefault="00A20BFD" w:rsidP="003B0A6C">
      <w:pPr>
        <w:pStyle w:val="Heading1"/>
        <w:spacing w:line="276" w:lineRule="auto"/>
        <w:rPr>
          <w:rFonts w:asciiTheme="majorBidi" w:hAnsiTheme="majorBidi"/>
          <w:b/>
          <w:bCs/>
          <w:color w:val="auto"/>
          <w:sz w:val="20"/>
          <w:szCs w:val="20"/>
        </w:rPr>
      </w:pPr>
      <w:r w:rsidRPr="004C5B88">
        <w:rPr>
          <w:rFonts w:asciiTheme="majorBidi" w:hAnsiTheme="majorBidi"/>
          <w:b/>
          <w:bCs/>
          <w:color w:val="auto"/>
          <w:sz w:val="20"/>
          <w:szCs w:val="20"/>
        </w:rPr>
        <w:t>Study population</w:t>
      </w:r>
    </w:p>
    <w:p w14:paraId="25A9C258" w14:textId="77DD30A8" w:rsidR="003D249D" w:rsidRPr="003B0A6C" w:rsidRDefault="003D249D" w:rsidP="003B0A6C">
      <w:pPr>
        <w:spacing w:line="276" w:lineRule="auto"/>
        <w:jc w:val="both"/>
        <w:rPr>
          <w:rFonts w:asciiTheme="majorBidi" w:hAnsiTheme="majorBidi" w:cstheme="majorBidi"/>
          <w:color w:val="000000" w:themeColor="text1"/>
          <w:sz w:val="20"/>
          <w:szCs w:val="20"/>
        </w:rPr>
      </w:pPr>
      <w:r w:rsidRPr="003B0A6C">
        <w:rPr>
          <w:rFonts w:asciiTheme="majorBidi" w:hAnsiTheme="majorBidi" w:cstheme="majorBidi"/>
          <w:color w:val="000000" w:themeColor="text1"/>
          <w:sz w:val="20"/>
          <w:szCs w:val="20"/>
        </w:rPr>
        <w:t xml:space="preserve">The study population comprised two independent cohorts of patients referred to fast-track diagnostic pathways for non-specific symptoms. The discovery phase analyzed the plasma proteome of 456 patients from the MEDECA cohort in Stockholm, Sweden. </w:t>
      </w:r>
      <w:r w:rsidR="00931B6D" w:rsidRPr="003B0A6C">
        <w:rPr>
          <w:rFonts w:asciiTheme="majorBidi" w:hAnsiTheme="majorBidi" w:cstheme="majorBidi"/>
          <w:color w:val="000000" w:themeColor="text1"/>
          <w:sz w:val="20"/>
          <w:szCs w:val="20"/>
        </w:rPr>
        <w:t xml:space="preserve">Females comprised 55% of this cohort, with a median age of 71 years (IQR 60–78). </w:t>
      </w:r>
      <w:r w:rsidRPr="003B0A6C">
        <w:rPr>
          <w:rFonts w:asciiTheme="majorBidi" w:hAnsiTheme="majorBidi" w:cstheme="majorBidi"/>
          <w:color w:val="000000" w:themeColor="text1"/>
          <w:sz w:val="20"/>
          <w:szCs w:val="20"/>
        </w:rPr>
        <w:t>Non-specific symptoms in this cohort included general malaise, extreme fatigue, weight loss, pathological laboratory values or radiological findings suggestive of metastasis without a primary tumor</w:t>
      </w:r>
      <w:r w:rsidR="004E3D8F" w:rsidRPr="003B0A6C">
        <w:rPr>
          <w:rFonts w:asciiTheme="majorBidi" w:hAnsiTheme="majorBidi" w:cstheme="majorBidi"/>
          <w:color w:val="000000" w:themeColor="text1"/>
          <w:sz w:val="20"/>
          <w:szCs w:val="20"/>
        </w:rPr>
        <w:t>,</w:t>
      </w:r>
      <w:r w:rsidRPr="003B0A6C">
        <w:rPr>
          <w:rFonts w:asciiTheme="majorBidi" w:hAnsiTheme="majorBidi" w:cstheme="majorBidi"/>
          <w:color w:val="000000" w:themeColor="text1"/>
          <w:sz w:val="20"/>
          <w:szCs w:val="20"/>
        </w:rPr>
        <w:t xml:space="preserve"> and other criteria. After a six-month diagnostic work-up, 160 patients in the discovery cohort were diagnosed with cancer, with hematologic malignancies being the most common cancer type</w:t>
      </w:r>
      <w:r w:rsidR="004E3D8F" w:rsidRPr="003B0A6C">
        <w:rPr>
          <w:rFonts w:asciiTheme="majorBidi" w:hAnsiTheme="majorBidi" w:cstheme="majorBidi"/>
          <w:color w:val="000000" w:themeColor="text1"/>
          <w:sz w:val="20"/>
          <w:szCs w:val="20"/>
        </w:rPr>
        <w:t xml:space="preserve">; </w:t>
      </w:r>
      <w:r w:rsidRPr="003B0A6C">
        <w:rPr>
          <w:rFonts w:asciiTheme="majorBidi" w:hAnsiTheme="majorBidi" w:cstheme="majorBidi"/>
          <w:color w:val="000000" w:themeColor="text1"/>
          <w:sz w:val="20"/>
          <w:szCs w:val="20"/>
        </w:rPr>
        <w:t xml:space="preserve">all others were diagnosed with non-malignant conditions. </w:t>
      </w:r>
      <w:r w:rsidR="00DE0786" w:rsidRPr="003B0A6C">
        <w:rPr>
          <w:rFonts w:asciiTheme="majorBidi" w:hAnsiTheme="majorBidi" w:cstheme="majorBidi"/>
          <w:color w:val="000000" w:themeColor="text1"/>
          <w:sz w:val="20"/>
          <w:szCs w:val="20"/>
        </w:rPr>
        <w:t xml:space="preserve">These findings were validated in an independent replication cohort, ALLVOS in </w:t>
      </w:r>
      <w:proofErr w:type="spellStart"/>
      <w:r w:rsidR="00DE0786" w:rsidRPr="003B0A6C">
        <w:rPr>
          <w:rFonts w:asciiTheme="majorBidi" w:hAnsiTheme="majorBidi" w:cstheme="majorBidi"/>
          <w:color w:val="000000" w:themeColor="text1"/>
          <w:sz w:val="20"/>
          <w:szCs w:val="20"/>
        </w:rPr>
        <w:t>Örebro</w:t>
      </w:r>
      <w:proofErr w:type="spellEnd"/>
      <w:r w:rsidR="00DE0786" w:rsidRPr="003B0A6C">
        <w:rPr>
          <w:rFonts w:asciiTheme="majorBidi" w:hAnsiTheme="majorBidi" w:cstheme="majorBidi"/>
          <w:color w:val="000000" w:themeColor="text1"/>
          <w:sz w:val="20"/>
          <w:szCs w:val="20"/>
        </w:rPr>
        <w:t xml:space="preserve">, Sweden, consisting of 238 patients, of whom 50% were female, with a median age of 72 years. </w:t>
      </w:r>
      <w:r w:rsidR="006D182C" w:rsidRPr="003B0A6C">
        <w:rPr>
          <w:rFonts w:asciiTheme="majorBidi" w:hAnsiTheme="majorBidi" w:cstheme="majorBidi"/>
          <w:color w:val="000000" w:themeColor="text1"/>
          <w:sz w:val="20"/>
          <w:szCs w:val="20"/>
        </w:rPr>
        <w:t>The inclusion criteria were similar, except for the exclusion of patients with radiological signs of malignancy.</w:t>
      </w:r>
      <w:r w:rsidRPr="003B0A6C">
        <w:rPr>
          <w:rFonts w:asciiTheme="majorBidi" w:hAnsiTheme="majorBidi" w:cstheme="majorBidi"/>
          <w:color w:val="000000" w:themeColor="text1"/>
          <w:sz w:val="20"/>
          <w:szCs w:val="20"/>
        </w:rPr>
        <w:t xml:space="preserve"> In this replication group, 35 patients were diagnosed with cancer.</w:t>
      </w:r>
    </w:p>
    <w:p w14:paraId="100DC912" w14:textId="1C625BE6" w:rsidR="00A20BFD" w:rsidRPr="004C5B88" w:rsidRDefault="00A20BFD" w:rsidP="003B0A6C">
      <w:pPr>
        <w:pStyle w:val="Heading1"/>
        <w:spacing w:line="276" w:lineRule="auto"/>
        <w:rPr>
          <w:rFonts w:asciiTheme="majorBidi" w:hAnsiTheme="majorBidi"/>
          <w:b/>
          <w:bCs/>
          <w:color w:val="auto"/>
          <w:sz w:val="20"/>
          <w:szCs w:val="20"/>
        </w:rPr>
      </w:pPr>
      <w:r w:rsidRPr="004C5B88">
        <w:rPr>
          <w:rFonts w:asciiTheme="majorBidi" w:hAnsiTheme="majorBidi"/>
          <w:b/>
          <w:bCs/>
          <w:color w:val="auto"/>
          <w:sz w:val="20"/>
          <w:szCs w:val="20"/>
        </w:rPr>
        <w:t>Protein profiling</w:t>
      </w:r>
    </w:p>
    <w:p w14:paraId="58A26E3F" w14:textId="3AA1D96E" w:rsidR="004C5B88" w:rsidRPr="003B0A6C" w:rsidRDefault="006E1E7B" w:rsidP="00F909A5">
      <w:pPr>
        <w:spacing w:line="276" w:lineRule="auto"/>
        <w:jc w:val="both"/>
        <w:rPr>
          <w:rFonts w:asciiTheme="majorBidi" w:hAnsiTheme="majorBidi" w:cstheme="majorBidi"/>
          <w:sz w:val="20"/>
          <w:szCs w:val="20"/>
        </w:rPr>
      </w:pPr>
      <w:r w:rsidRPr="003B0A6C">
        <w:rPr>
          <w:rFonts w:asciiTheme="majorBidi" w:hAnsiTheme="majorBidi" w:cstheme="majorBidi"/>
          <w:sz w:val="20"/>
          <w:szCs w:val="20"/>
        </w:rPr>
        <w:t xml:space="preserve">The </w:t>
      </w:r>
      <w:proofErr w:type="spellStart"/>
      <w:r w:rsidR="00695C54" w:rsidRPr="003B0A6C">
        <w:rPr>
          <w:rFonts w:asciiTheme="majorBidi" w:hAnsiTheme="majorBidi" w:cstheme="majorBidi"/>
          <w:sz w:val="20"/>
          <w:szCs w:val="20"/>
        </w:rPr>
        <w:t>Olink</w:t>
      </w:r>
      <w:proofErr w:type="spellEnd"/>
      <w:r w:rsidR="00695C54" w:rsidRPr="003B0A6C">
        <w:rPr>
          <w:rFonts w:asciiTheme="majorBidi" w:hAnsiTheme="majorBidi" w:cstheme="majorBidi"/>
          <w:sz w:val="20"/>
          <w:szCs w:val="20"/>
        </w:rPr>
        <w:t xml:space="preserve"> Proximity Extension Assay (PEA) is a high-throughput</w:t>
      </w:r>
      <w:r w:rsidR="0024471E" w:rsidRPr="003B0A6C">
        <w:rPr>
          <w:rFonts w:asciiTheme="majorBidi" w:hAnsiTheme="majorBidi" w:cstheme="majorBidi"/>
          <w:sz w:val="20"/>
          <w:szCs w:val="20"/>
        </w:rPr>
        <w:t xml:space="preserve">, </w:t>
      </w:r>
      <w:r w:rsidR="00695C54" w:rsidRPr="003B0A6C">
        <w:rPr>
          <w:rFonts w:asciiTheme="majorBidi" w:hAnsiTheme="majorBidi" w:cstheme="majorBidi"/>
          <w:sz w:val="20"/>
          <w:szCs w:val="20"/>
        </w:rPr>
        <w:t>antibody-based proteomics</w:t>
      </w:r>
      <w:r w:rsidR="0024471E" w:rsidRPr="003B0A6C">
        <w:rPr>
          <w:rFonts w:asciiTheme="majorBidi" w:hAnsiTheme="majorBidi" w:cstheme="majorBidi"/>
          <w:sz w:val="20"/>
          <w:szCs w:val="20"/>
        </w:rPr>
        <w:t xml:space="preserve"> technology</w:t>
      </w:r>
      <w:r w:rsidR="00695C54" w:rsidRPr="003B0A6C">
        <w:rPr>
          <w:rFonts w:asciiTheme="majorBidi" w:hAnsiTheme="majorBidi" w:cstheme="majorBidi"/>
          <w:sz w:val="20"/>
          <w:szCs w:val="20"/>
        </w:rPr>
        <w:t>.</w:t>
      </w:r>
      <w:r w:rsidR="00490E5C" w:rsidRPr="003B0A6C">
        <w:rPr>
          <w:rFonts w:asciiTheme="majorBidi" w:hAnsiTheme="majorBidi" w:cstheme="majorBidi"/>
          <w:sz w:val="20"/>
          <w:szCs w:val="20"/>
        </w:rPr>
        <w:t xml:space="preserve"> </w:t>
      </w:r>
      <w:r w:rsidR="005673CF" w:rsidRPr="003B0A6C">
        <w:rPr>
          <w:rFonts w:asciiTheme="majorBidi" w:hAnsiTheme="majorBidi" w:cstheme="majorBidi"/>
          <w:sz w:val="20"/>
          <w:szCs w:val="20"/>
        </w:rPr>
        <w:t>In</w:t>
      </w:r>
      <w:r w:rsidR="00490E5C" w:rsidRPr="003B0A6C">
        <w:rPr>
          <w:rFonts w:asciiTheme="majorBidi" w:hAnsiTheme="majorBidi" w:cstheme="majorBidi"/>
          <w:sz w:val="20"/>
          <w:szCs w:val="20"/>
        </w:rPr>
        <w:t xml:space="preserve"> PEA</w:t>
      </w:r>
      <w:r w:rsidR="00406446" w:rsidRPr="003B0A6C">
        <w:rPr>
          <w:rFonts w:asciiTheme="majorBidi" w:hAnsiTheme="majorBidi" w:cstheme="majorBidi"/>
          <w:sz w:val="20"/>
          <w:szCs w:val="20"/>
        </w:rPr>
        <w:t>,</w:t>
      </w:r>
      <w:r w:rsidR="00490E5C" w:rsidRPr="003B0A6C">
        <w:rPr>
          <w:rFonts w:asciiTheme="majorBidi" w:hAnsiTheme="majorBidi" w:cstheme="majorBidi"/>
          <w:sz w:val="20"/>
          <w:szCs w:val="20"/>
        </w:rPr>
        <w:t xml:space="preserve"> oligonucleotide-labeled antibodies bind to</w:t>
      </w:r>
      <w:r w:rsidR="006C1EF8" w:rsidRPr="003B0A6C">
        <w:rPr>
          <w:rFonts w:asciiTheme="majorBidi" w:hAnsiTheme="majorBidi" w:cstheme="majorBidi"/>
          <w:sz w:val="20"/>
          <w:szCs w:val="20"/>
        </w:rPr>
        <w:t xml:space="preserve"> </w:t>
      </w:r>
      <w:r w:rsidR="00490E5C" w:rsidRPr="003B0A6C">
        <w:rPr>
          <w:rFonts w:asciiTheme="majorBidi" w:hAnsiTheme="majorBidi" w:cstheme="majorBidi"/>
          <w:sz w:val="20"/>
          <w:szCs w:val="20"/>
        </w:rPr>
        <w:t>their target antigens</w:t>
      </w:r>
      <w:r w:rsidR="00105773" w:rsidRPr="003B0A6C">
        <w:rPr>
          <w:rFonts w:asciiTheme="majorBidi" w:hAnsiTheme="majorBidi" w:cstheme="majorBidi"/>
          <w:sz w:val="20"/>
          <w:szCs w:val="20"/>
        </w:rPr>
        <w:t>. After</w:t>
      </w:r>
      <w:r w:rsidR="00490E5C" w:rsidRPr="003B0A6C">
        <w:rPr>
          <w:rFonts w:asciiTheme="majorBidi" w:hAnsiTheme="majorBidi" w:cstheme="majorBidi"/>
          <w:sz w:val="20"/>
          <w:szCs w:val="20"/>
        </w:rPr>
        <w:t xml:space="preserve"> hybridization</w:t>
      </w:r>
      <w:r w:rsidR="007C4475" w:rsidRPr="003B0A6C">
        <w:rPr>
          <w:rFonts w:asciiTheme="majorBidi" w:hAnsiTheme="majorBidi" w:cstheme="majorBidi"/>
          <w:sz w:val="20"/>
          <w:szCs w:val="20"/>
        </w:rPr>
        <w:t>,</w:t>
      </w:r>
      <w:r w:rsidR="00966449" w:rsidRPr="003B0A6C">
        <w:rPr>
          <w:rFonts w:asciiTheme="majorBidi" w:hAnsiTheme="majorBidi" w:cstheme="majorBidi"/>
          <w:sz w:val="20"/>
          <w:szCs w:val="20"/>
        </w:rPr>
        <w:t xml:space="preserve"> </w:t>
      </w:r>
      <w:r w:rsidR="00243646" w:rsidRPr="003B0A6C">
        <w:rPr>
          <w:rFonts w:asciiTheme="majorBidi" w:hAnsiTheme="majorBidi" w:cstheme="majorBidi"/>
          <w:sz w:val="20"/>
          <w:szCs w:val="20"/>
        </w:rPr>
        <w:t xml:space="preserve">the associated DNA sequences between them </w:t>
      </w:r>
      <w:r w:rsidR="00490E5C" w:rsidRPr="003B0A6C">
        <w:rPr>
          <w:rFonts w:asciiTheme="majorBidi" w:hAnsiTheme="majorBidi" w:cstheme="majorBidi"/>
          <w:sz w:val="20"/>
          <w:szCs w:val="20"/>
        </w:rPr>
        <w:t xml:space="preserve">will be amplified and quantified using NGS by </w:t>
      </w:r>
      <w:r w:rsidR="00406446" w:rsidRPr="003B0A6C">
        <w:rPr>
          <w:rFonts w:asciiTheme="majorBidi" w:hAnsiTheme="majorBidi" w:cstheme="majorBidi"/>
          <w:sz w:val="20"/>
          <w:szCs w:val="20"/>
        </w:rPr>
        <w:t xml:space="preserve">the </w:t>
      </w:r>
      <w:r w:rsidR="00490E5C" w:rsidRPr="003B0A6C">
        <w:rPr>
          <w:rFonts w:asciiTheme="majorBidi" w:hAnsiTheme="majorBidi" w:cstheme="majorBidi"/>
          <w:sz w:val="20"/>
          <w:szCs w:val="20"/>
        </w:rPr>
        <w:t xml:space="preserve">Illumina </w:t>
      </w:r>
      <w:proofErr w:type="spellStart"/>
      <w:r w:rsidR="00490E5C" w:rsidRPr="003B0A6C">
        <w:rPr>
          <w:rFonts w:asciiTheme="majorBidi" w:hAnsiTheme="majorBidi" w:cstheme="majorBidi"/>
          <w:sz w:val="20"/>
          <w:szCs w:val="20"/>
        </w:rPr>
        <w:t>NovaSeq</w:t>
      </w:r>
      <w:proofErr w:type="spellEnd"/>
      <w:r w:rsidR="00490E5C" w:rsidRPr="003B0A6C">
        <w:rPr>
          <w:rFonts w:asciiTheme="majorBidi" w:hAnsiTheme="majorBidi" w:cstheme="majorBidi"/>
          <w:sz w:val="20"/>
          <w:szCs w:val="20"/>
        </w:rPr>
        <w:t xml:space="preserve"> 6000 platform. </w:t>
      </w:r>
      <w:r w:rsidR="00695C54" w:rsidRPr="003B0A6C">
        <w:rPr>
          <w:rFonts w:asciiTheme="majorBidi" w:hAnsiTheme="majorBidi" w:cstheme="majorBidi"/>
          <w:sz w:val="20"/>
          <w:szCs w:val="20"/>
        </w:rPr>
        <w:t>This technique</w:t>
      </w:r>
      <w:r w:rsidR="004C534D" w:rsidRPr="003B0A6C">
        <w:rPr>
          <w:rFonts w:asciiTheme="majorBidi" w:hAnsiTheme="majorBidi" w:cstheme="majorBidi"/>
          <w:sz w:val="20"/>
          <w:szCs w:val="20"/>
        </w:rPr>
        <w:t xml:space="preserve"> provides </w:t>
      </w:r>
      <w:r w:rsidR="00733E6F" w:rsidRPr="003B0A6C">
        <w:rPr>
          <w:rFonts w:asciiTheme="majorBidi" w:hAnsiTheme="majorBidi" w:cstheme="majorBidi"/>
          <w:sz w:val="20"/>
          <w:szCs w:val="20"/>
        </w:rPr>
        <w:t>simultaneous quantification of multiple proteins with high sensitivity and specificity for</w:t>
      </w:r>
      <w:r w:rsidR="00695C54" w:rsidRPr="003B0A6C">
        <w:rPr>
          <w:rFonts w:asciiTheme="majorBidi" w:hAnsiTheme="majorBidi" w:cstheme="majorBidi"/>
          <w:sz w:val="20"/>
          <w:szCs w:val="20"/>
        </w:rPr>
        <w:t xml:space="preserve"> </w:t>
      </w:r>
      <w:r w:rsidR="00696E4C" w:rsidRPr="003B0A6C">
        <w:rPr>
          <w:rFonts w:asciiTheme="majorBidi" w:hAnsiTheme="majorBidi" w:cstheme="majorBidi"/>
          <w:sz w:val="20"/>
          <w:szCs w:val="20"/>
        </w:rPr>
        <w:t>biomarker</w:t>
      </w:r>
      <w:r w:rsidR="00695C54" w:rsidRPr="003B0A6C">
        <w:rPr>
          <w:rFonts w:asciiTheme="majorBidi" w:hAnsiTheme="majorBidi" w:cstheme="majorBidi"/>
          <w:sz w:val="20"/>
          <w:szCs w:val="20"/>
        </w:rPr>
        <w:t xml:space="preserve"> discovery and disease profiling</w:t>
      </w:r>
      <w:r w:rsidR="0012721F" w:rsidRPr="003B0A6C">
        <w:rPr>
          <w:rFonts w:asciiTheme="majorBidi" w:hAnsiTheme="majorBidi" w:cstheme="majorBidi"/>
          <w:sz w:val="20"/>
          <w:szCs w:val="20"/>
        </w:rPr>
        <w:t>,</w:t>
      </w:r>
      <w:r w:rsidR="00695C54" w:rsidRPr="003B0A6C">
        <w:rPr>
          <w:rFonts w:asciiTheme="majorBidi" w:hAnsiTheme="majorBidi" w:cstheme="majorBidi"/>
          <w:sz w:val="20"/>
          <w:szCs w:val="20"/>
        </w:rPr>
        <w:t xml:space="preserve"> particularly </w:t>
      </w:r>
      <w:r w:rsidR="0012721F" w:rsidRPr="003B0A6C">
        <w:rPr>
          <w:rFonts w:asciiTheme="majorBidi" w:hAnsiTheme="majorBidi" w:cstheme="majorBidi"/>
          <w:sz w:val="20"/>
          <w:szCs w:val="20"/>
        </w:rPr>
        <w:t xml:space="preserve">in </w:t>
      </w:r>
      <w:r w:rsidR="00695C54" w:rsidRPr="003B0A6C">
        <w:rPr>
          <w:rFonts w:asciiTheme="majorBidi" w:hAnsiTheme="majorBidi" w:cstheme="majorBidi"/>
          <w:sz w:val="20"/>
          <w:szCs w:val="20"/>
        </w:rPr>
        <w:t>neurology, oncology, and immunology.</w:t>
      </w:r>
      <w:r w:rsidR="0012721F" w:rsidRPr="003B0A6C">
        <w:rPr>
          <w:rFonts w:asciiTheme="majorBidi" w:hAnsiTheme="majorBidi" w:cstheme="majorBidi"/>
          <w:sz w:val="20"/>
          <w:szCs w:val="20"/>
        </w:rPr>
        <w:t xml:space="preserve"> </w:t>
      </w:r>
      <w:r w:rsidR="001B2613" w:rsidRPr="003B0A6C">
        <w:rPr>
          <w:rFonts w:asciiTheme="majorBidi" w:hAnsiTheme="majorBidi" w:cstheme="majorBidi"/>
          <w:sz w:val="20"/>
          <w:szCs w:val="20"/>
        </w:rPr>
        <w:fldChar w:fldCharType="begin"/>
      </w:r>
      <w:r w:rsidR="001B2613" w:rsidRPr="003B0A6C">
        <w:rPr>
          <w:rFonts w:asciiTheme="majorBidi" w:hAnsiTheme="majorBidi" w:cstheme="majorBidi"/>
          <w:sz w:val="20"/>
          <w:szCs w:val="20"/>
        </w:rPr>
        <w:instrText xml:space="preserve"> ADDIN ZOTERO_ITEM CSL_CITATION {"citationID":"dsDEAI7Z","properties":{"unsorted":false,"formattedCitation":"(6)","plainCitation":"(6)","noteIndex":0},"citationItems":[{"id":309,"uris":["http://zotero.org/users/19559117/items/65GFF4WN"],"itemData":{"id":309,"type":"article-journal","abstract":"Purpose: The quality of life of worldwide adolescents has been seriously affected by depression. Notably, the inflammatory response is closely associated with the pathophysiology of depression. The present study applied a novel targeted proteomics technology, Olink proximity extension assay (PEA), to profile circulating immune-related proteins in adolescents with depression.\nMethods: In the present study, the expression levels of 92 inflammation-related proteins were compared between adolescents with depression (ADs) (n=15) and healthy controls (HCs) (n=15), using the OLINK PEA inflammation panel. We further validated 5 top proteins that were identified through KEGG and GO analyses between 40 HCs and 50 ADs, including CCL4, CXCL5, CXCL6, CXCL11, and IL-18 using enzyme linked immunosorbent assay (ELISA).\nResults: We identified 13 differentially expressed proteins between the two cohorts, including 5 up-regulated and 8 down-regulated proteins. Among them, the TRAIL protein levels were significantly negatively correlated with the HAMA-14 score (r=−0.538, p= 0.038), and the levels of transforming growth factor α (TGF-α) were significantly associated with a change in appetite (r = -0.658, p = 0.008). After validation by ELISA, CCL4, CXCL5, CXCL11, and IL-18 showed significant changes between ADs and HCs (p &lt; 0.05), while CXCL6 showed an up-regulated tendency in ADs (p=0.0673). The pooled diagnostic efficacy (area under the curve [AUC]) of these five inflammation markers in clinical diagnosis for adolescent depression was 0.819 (95% CI: 0.735–0.904).\nConclusion: We report a number of inflammation-related plasma biomarkers, which uncover a potential involvement of chemokines, cytokines, and cytokine receptors in adolescent depression. Their roles in the pathophysiology of depression need to be further elucidated.","container-title":"Journal of Inflammation Research","DOI":"10.2147/JIR.S425780","ISSN":"1178-7031","journalAbbreviation":"JIR","language":"en","license":"https://creativecommons.org/licenses/by-nc/3.0/","page":"4489-4501","source":"DOI.org (Crossref)","title":"Identification of Plasma Inflammatory Markers of Adolescent Depression Using the Olink Proteomics Platform","URL":"https://www.dovepress.com/identification-of-plasma-inflammatory-markers-of-adolescent-depression-peer-reviewed-fulltext-article-JIR","volume":"Volume 16","author":[{"family":"Yang","given":"Ling"},{"family":"Cao","given":"Maolin"},{"family":"Tian","given":"Jing"},{"family":"Cui","given":"Peijin"},{"family":"Ai","given":"Ling"},{"family":"Li","given":"Xue"},{"family":"Li","given":"Hua"},{"family":"Gao","given":"Menghan"},{"family":"Fang","given":"Liang"},{"family":"Zhao","given":"Libo"},{"family":"Gong","given":"Fang"},{"family":"Zhou","given":"Chanjuan"}],"accessed":{"date-parts":[["2026",2,15]]},"issued":{"date-parts":[["2023",10]]}}}],"schema":"https://github.com/citation-style-language/schema/raw/master/csl-citation.json"} </w:instrText>
      </w:r>
      <w:r w:rsidR="001B2613" w:rsidRPr="003B0A6C">
        <w:rPr>
          <w:rFonts w:asciiTheme="majorBidi" w:hAnsiTheme="majorBidi" w:cstheme="majorBidi"/>
          <w:sz w:val="20"/>
          <w:szCs w:val="20"/>
        </w:rPr>
        <w:fldChar w:fldCharType="separate"/>
      </w:r>
      <w:r w:rsidR="001B2613" w:rsidRPr="003B0A6C">
        <w:rPr>
          <w:rFonts w:asciiTheme="majorBidi" w:hAnsiTheme="majorBidi" w:cstheme="majorBidi"/>
          <w:sz w:val="20"/>
          <w:szCs w:val="20"/>
        </w:rPr>
        <w:t>(6)</w:t>
      </w:r>
      <w:r w:rsidR="001B2613" w:rsidRPr="003B0A6C">
        <w:rPr>
          <w:rFonts w:asciiTheme="majorBidi" w:hAnsiTheme="majorBidi" w:cstheme="majorBidi"/>
          <w:sz w:val="20"/>
          <w:szCs w:val="20"/>
        </w:rPr>
        <w:fldChar w:fldCharType="end"/>
      </w:r>
      <w:r w:rsidR="00B84958" w:rsidRPr="003B0A6C">
        <w:rPr>
          <w:rFonts w:asciiTheme="majorBidi" w:hAnsiTheme="majorBidi" w:cstheme="majorBidi"/>
          <w:sz w:val="20"/>
          <w:szCs w:val="20"/>
        </w:rPr>
        <w:t xml:space="preserve"> </w:t>
      </w:r>
      <w:r w:rsidR="00B84958" w:rsidRPr="003B0A6C">
        <w:rPr>
          <w:rFonts w:asciiTheme="majorBidi" w:hAnsiTheme="majorBidi" w:cstheme="majorBidi"/>
          <w:sz w:val="20"/>
          <w:szCs w:val="20"/>
        </w:rPr>
        <w:fldChar w:fldCharType="begin"/>
      </w:r>
      <w:r w:rsidR="00B84958" w:rsidRPr="003B0A6C">
        <w:rPr>
          <w:rFonts w:asciiTheme="majorBidi" w:hAnsiTheme="majorBidi" w:cstheme="majorBidi"/>
          <w:sz w:val="20"/>
          <w:szCs w:val="20"/>
        </w:rPr>
        <w:instrText xml:space="preserve"> ADDIN ZOTERO_ITEM CSL_CITATION {"citationID":"XvormVMV","properties":{"unsorted":false,"formattedCitation":"(7)","plainCitation":"(7)","noteIndex":0},"citationItems":[{"id":307,"uris":["http://zotero.org/users/19559117/items/VJHKZRRS"],"itemData":{"id":307,"type":"article-journal","container-title":"Molecular &amp; Cellular Proteomics","DOI":"10.1016/j.mcpro.2025.101000","ISSN":"15359476","issue":"7","journalAbbreviation":"Molecular &amp; Cellular Proteomics","language":"en","page":"101000","source":"DOI.org (Crossref)","title":"A Method for Comparing Proteins Measured in Serum and Plasma by Olink Proximity Extension Assay","URL":"https://linkinghub.elsevier.com/retrieve/pii/S1535947625000994","volume":"24","author":[{"family":"Shraim","given":"Rawan"},{"family":"Diorio","given":"Caroline"},{"family":"Canna","given":"Scott W."},{"family":"Macdonald-Dunlop","given":"Erin"},{"family":"Bassiri","given":"Hamid"},{"family":"Martinez","given":"Zachary"},{"family":"Mälarstig","given":"Anders"},{"family":"Abbaspour","given":"Afrouz"},{"family":"Teachey","given":"David T."},{"family":"Lindell","given":"Robert B."},{"family":"Behrens","given":"Edward M."}],"accessed":{"date-parts":[["2026",2,15]]},"issued":{"date-parts":[["2025",7]]}}}],"schema":"https://github.com/citation-style-language/schema/raw/master/csl-citation.json"} </w:instrText>
      </w:r>
      <w:r w:rsidR="00B84958" w:rsidRPr="003B0A6C">
        <w:rPr>
          <w:rFonts w:asciiTheme="majorBidi" w:hAnsiTheme="majorBidi" w:cstheme="majorBidi"/>
          <w:sz w:val="20"/>
          <w:szCs w:val="20"/>
        </w:rPr>
        <w:fldChar w:fldCharType="separate"/>
      </w:r>
      <w:r w:rsidR="00B84958" w:rsidRPr="003B0A6C">
        <w:rPr>
          <w:rFonts w:asciiTheme="majorBidi" w:hAnsiTheme="majorBidi" w:cstheme="majorBidi"/>
          <w:sz w:val="20"/>
          <w:szCs w:val="20"/>
        </w:rPr>
        <w:t>(7)</w:t>
      </w:r>
      <w:r w:rsidR="00B84958" w:rsidRPr="003B0A6C">
        <w:rPr>
          <w:rFonts w:asciiTheme="majorBidi" w:hAnsiTheme="majorBidi" w:cstheme="majorBidi"/>
          <w:sz w:val="20"/>
          <w:szCs w:val="20"/>
        </w:rPr>
        <w:fldChar w:fldCharType="end"/>
      </w:r>
      <w:r w:rsidR="00B84958" w:rsidRPr="003B0A6C">
        <w:rPr>
          <w:rFonts w:asciiTheme="majorBidi" w:hAnsiTheme="majorBidi" w:cstheme="majorBidi"/>
          <w:sz w:val="20"/>
          <w:szCs w:val="20"/>
        </w:rPr>
        <w:t xml:space="preserve"> </w:t>
      </w:r>
      <w:r w:rsidR="001C7E7D" w:rsidRPr="003B0A6C">
        <w:rPr>
          <w:rFonts w:asciiTheme="majorBidi" w:hAnsiTheme="majorBidi" w:cstheme="majorBidi"/>
          <w:sz w:val="20"/>
          <w:szCs w:val="20"/>
        </w:rPr>
        <w:fldChar w:fldCharType="begin"/>
      </w:r>
      <w:r w:rsidR="001C7E7D" w:rsidRPr="003B0A6C">
        <w:rPr>
          <w:rFonts w:asciiTheme="majorBidi" w:hAnsiTheme="majorBidi" w:cstheme="majorBidi"/>
          <w:sz w:val="20"/>
          <w:szCs w:val="20"/>
        </w:rPr>
        <w:instrText xml:space="preserve"> ADDIN ZOTERO_ITEM CSL_CITATION {"citationID":"sC8tsvbh","properties":{"unsorted":false,"formattedCitation":"(8)","plainCitation":"(8)","noteIndex":0},"citationItems":[{"id":310,"uris":["http://zotero.org/users/19559117/items/97IWV5GK"],"itemData":{"id":310,"type":"article-journal","abstract":"The core Alzheimer’s disease (AD) cerebrospinal ﬂuid (CSF) biomarkers; amyloid-β (Aß), total tau (t-tau), and phosphorylated tau (p-tau181), are strong indicators of the presence of AD pathology, but do not correlate well with disease progression, and can be difﬁcult to implement in longitudinal studies where repeat bioﬂuid sampling is required. As a result, blood-based biomarkers are increasingly being sought as alternatives. In this study, we aimed to evaluate a promising blood biomarker discovery technology, Olink Proximity Extension Assays for technical reproducibility characteristics in order to highlight the advantages and disadvantages of using this technology in biomarker discovery in AD. We evaluated the performance of ﬁve Olink Proteomic multiplex proximity extension assays (PEA) in plasma samples. Three technical control samples included on each plate allowed calculation of technical variability. Biotemporal stability was measured in three sequential annual samples from 54 individuals with and without AD. Coefﬁcients of variation (CVs), analysis of variance (ANOVA), and variance component analyses were used to quantify technical and individual variation over time. We show that overall, Olink assays are technically robust, with the largest experimental variation stemming from biological differences between individuals for most analytes. As a powerful illustration of one of the potential pitfalls of using a multi-plexed technology for discovery, we performed power calculations using the baseline samples to demonstrate the size of study required to overcome the need for multiple test correction with this technology. We show that the power of moderate effect size proteins was strongly reduced, and as a result investigators should strongly consider pooling resources to perform larger studies using this multiplexed technique where possible.","container-title":"Frontiers in Neurology","DOI":"10.3389/fneur.2022.889647","ISSN":"1664-2295","journalAbbreviation":"Front. Neurol.","language":"en","page":"889647","source":"DOI.org (Crossref)","title":"Technical Performance Evaluation of Olink Proximity Extension Assay for Blood-Based Biomarker Discovery in Longitudinal Studies of Alzheimer's Disease","URL":"https://www.frontiersin.org/articles/10.3389/fneur.2022.889647/full","volume":"13","author":[{"family":"Carlyle","given":"Becky C."},{"family":"Kitchen","given":"Robert R."},{"family":"Mattingly","given":"Zoe"},{"family":"Celia","given":"Amanda M."},{"family":"Trombetta","given":"Bianca A."},{"family":"Das","given":"Sudeshna"},{"family":"Hyman","given":"Bradley T."},{"family":"Kivisäkk","given":"Pia"},{"family":"Arnold","given":"Steven E."}],"accessed":{"date-parts":[["2026",2,15]]},"issued":{"date-parts":[["2022",6,6]]}}}],"schema":"https://github.com/citation-style-language/schema/raw/master/csl-citation.json"} </w:instrText>
      </w:r>
      <w:r w:rsidR="001C7E7D" w:rsidRPr="003B0A6C">
        <w:rPr>
          <w:rFonts w:asciiTheme="majorBidi" w:hAnsiTheme="majorBidi" w:cstheme="majorBidi"/>
          <w:sz w:val="20"/>
          <w:szCs w:val="20"/>
        </w:rPr>
        <w:fldChar w:fldCharType="separate"/>
      </w:r>
      <w:r w:rsidR="001C7E7D" w:rsidRPr="003B0A6C">
        <w:rPr>
          <w:rFonts w:asciiTheme="majorBidi" w:hAnsiTheme="majorBidi" w:cstheme="majorBidi"/>
          <w:sz w:val="20"/>
          <w:szCs w:val="20"/>
        </w:rPr>
        <w:t>(8)</w:t>
      </w:r>
      <w:r w:rsidR="001C7E7D" w:rsidRPr="003B0A6C">
        <w:rPr>
          <w:rFonts w:asciiTheme="majorBidi" w:hAnsiTheme="majorBidi" w:cstheme="majorBidi"/>
          <w:sz w:val="20"/>
          <w:szCs w:val="20"/>
        </w:rPr>
        <w:fldChar w:fldCharType="end"/>
      </w:r>
      <w:r w:rsidR="00D676F3" w:rsidRPr="003B0A6C">
        <w:rPr>
          <w:rFonts w:asciiTheme="majorBidi" w:hAnsiTheme="majorBidi" w:cstheme="majorBidi"/>
          <w:sz w:val="20"/>
          <w:szCs w:val="20"/>
        </w:rPr>
        <w:t xml:space="preserve"> </w:t>
      </w:r>
      <w:r w:rsidR="00D676F3" w:rsidRPr="003B0A6C">
        <w:rPr>
          <w:rFonts w:asciiTheme="majorBidi" w:hAnsiTheme="majorBidi" w:cstheme="majorBidi"/>
          <w:sz w:val="20"/>
          <w:szCs w:val="20"/>
        </w:rPr>
        <w:fldChar w:fldCharType="begin"/>
      </w:r>
      <w:r w:rsidR="00D676F3" w:rsidRPr="003B0A6C">
        <w:rPr>
          <w:rFonts w:asciiTheme="majorBidi" w:hAnsiTheme="majorBidi" w:cstheme="majorBidi"/>
          <w:sz w:val="20"/>
          <w:szCs w:val="20"/>
        </w:rPr>
        <w:instrText xml:space="preserve"> ADDIN ZOTERO_ITEM CSL_CITATION {"citationID":"zLd2lKYU","properties":{"unsorted":false,"formattedCitation":"(9)","plainCitation":"(9)","noteIndex":0},"citationItems":[{"id":308,"uris":["http://zotero.org/users/19559117/items/45ZT83EY"],"itemData":{"id":308,"type":"article-journal","abstract":"Background: Proximity extension assay (PEA) is a novel antibody-based proteomic technology. Sparse data have been published concerning the matrix effect of serum vs. ethylenediamine tetraacetic acid (EDTA) plasma and the reproducibility of results obtained using PEA technology.\nMethods: We analyzed samples with the PEA-based 92-plex Olink® immuno-oncology (I-O) assay. To estimate the matrix effect, we analyzed paired serum and EDTA plasma samples from 12 patients with biliary tract cancer. To evaluate the reproducibility, we used data from 7 studies, where 6–8 serum samples from patients with pancreatic cancer were used as bridging samples on 3 versions of the panel over a 2.5-years period.\nResults: For the study of serum vs. plasma, 80 proteins were evaluable. The mean serum to EDTA plasma ratio ranged from 0.41–3.01. For 36 proteins, the serum and plasma values were not comparable due to high variability of the ratio, poor correlation, or possible concentration effect. For the bridging samples, the mean intra-study inter-assay coefficient of variation (CV) ranged from 11.3% to 26.1%. The mean inter-study CV was 42.0% before normalization and 26.2% after normalization. Inter-study results were well correlated (r ≥ 0.93), especially for studies using the same version of the panel (r ≥ 0.99).\nConclusion: For 44 of 92 proteins included in the Olink® I-O panel, the variation between results obtained using serum and EDTA plasma was constant and results were well correlated. Furthermore, samples could be stored for several years and used on different versions of the same PEA panel without it effecting results.","container-title":"Clinical Proteomics","DOI":"10.1186/s12014-022-09380-y","ISSN":"1542-6416, 1559-0275","issue":"1","journalAbbreviation":"Clin Proteom","language":"en","page":"39","source":"DOI.org (Crossref)","title":"Determination of temporal reproducibility and variability of cancer biomarkers in serum and EDTA plasma samples using a proximity extension assay","URL":"https://clinicalproteomicsjournal.biomedcentral.com/articles/10.1186/s12014-022-09380-y","volume":"19","author":[{"family":"Christensen","given":"Troels D."},{"family":"Maag","given":"Emil"},{"family":"Madsen","given":"Kasper"},{"family":"Lindgaard","given":"Sidsel Christy"},{"family":"Nielsen","given":"Dorte L."},{"family":"Johansen","given":"Julia S."}],"accessed":{"date-parts":[["2026",2,15]]},"issued":{"date-parts":[["2022",12]]}}}],"schema":"https://github.com/citation-style-language/schema/raw/master/csl-citation.json"} </w:instrText>
      </w:r>
      <w:r w:rsidR="00D676F3" w:rsidRPr="003B0A6C">
        <w:rPr>
          <w:rFonts w:asciiTheme="majorBidi" w:hAnsiTheme="majorBidi" w:cstheme="majorBidi"/>
          <w:sz w:val="20"/>
          <w:szCs w:val="20"/>
        </w:rPr>
        <w:fldChar w:fldCharType="separate"/>
      </w:r>
      <w:r w:rsidR="00D676F3" w:rsidRPr="003B0A6C">
        <w:rPr>
          <w:rFonts w:asciiTheme="majorBidi" w:hAnsiTheme="majorBidi" w:cstheme="majorBidi"/>
          <w:sz w:val="20"/>
          <w:szCs w:val="20"/>
        </w:rPr>
        <w:t>(9)</w:t>
      </w:r>
      <w:r w:rsidR="00D676F3" w:rsidRPr="003B0A6C">
        <w:rPr>
          <w:rFonts w:asciiTheme="majorBidi" w:hAnsiTheme="majorBidi" w:cstheme="majorBidi"/>
          <w:sz w:val="20"/>
          <w:szCs w:val="20"/>
        </w:rPr>
        <w:fldChar w:fldCharType="end"/>
      </w:r>
      <w:r w:rsidR="003D2846" w:rsidRPr="003B0A6C">
        <w:rPr>
          <w:rFonts w:asciiTheme="majorBidi" w:hAnsiTheme="majorBidi" w:cstheme="majorBidi"/>
          <w:sz w:val="20"/>
          <w:szCs w:val="20"/>
        </w:rPr>
        <w:t xml:space="preserve"> </w:t>
      </w:r>
      <w:r w:rsidR="0012721F" w:rsidRPr="003B0A6C">
        <w:rPr>
          <w:rFonts w:asciiTheme="majorBidi" w:hAnsiTheme="majorBidi" w:cstheme="majorBidi"/>
          <w:sz w:val="20"/>
          <w:szCs w:val="20"/>
        </w:rPr>
        <w:t xml:space="preserve">The </w:t>
      </w:r>
      <w:r w:rsidR="002A2D6B" w:rsidRPr="003B0A6C">
        <w:rPr>
          <w:rFonts w:asciiTheme="majorBidi" w:hAnsiTheme="majorBidi" w:cstheme="majorBidi"/>
          <w:sz w:val="20"/>
          <w:szCs w:val="20"/>
        </w:rPr>
        <w:t xml:space="preserve">output of this </w:t>
      </w:r>
      <w:r w:rsidR="00D676F3" w:rsidRPr="003B0A6C">
        <w:rPr>
          <w:rFonts w:asciiTheme="majorBidi" w:hAnsiTheme="majorBidi" w:cstheme="majorBidi"/>
          <w:sz w:val="20"/>
          <w:szCs w:val="20"/>
        </w:rPr>
        <w:t>method</w:t>
      </w:r>
      <w:r w:rsidR="002A2D6B" w:rsidRPr="003B0A6C">
        <w:rPr>
          <w:rFonts w:asciiTheme="majorBidi" w:hAnsiTheme="majorBidi" w:cstheme="majorBidi"/>
          <w:sz w:val="20"/>
          <w:szCs w:val="20"/>
        </w:rPr>
        <w:t xml:space="preserve"> is </w:t>
      </w:r>
      <w:r w:rsidR="00FF7A70" w:rsidRPr="003B0A6C">
        <w:rPr>
          <w:rFonts w:asciiTheme="majorBidi" w:hAnsiTheme="majorBidi" w:cstheme="majorBidi"/>
          <w:sz w:val="20"/>
          <w:szCs w:val="20"/>
        </w:rPr>
        <w:t xml:space="preserve">NPX (Normalized Protein </w:t>
      </w:r>
      <w:r w:rsidR="00805615" w:rsidRPr="003B0A6C">
        <w:rPr>
          <w:rFonts w:asciiTheme="majorBidi" w:hAnsiTheme="majorBidi" w:cstheme="majorBidi"/>
          <w:sz w:val="20"/>
          <w:szCs w:val="20"/>
        </w:rPr>
        <w:t>expression</w:t>
      </w:r>
      <w:r w:rsidR="00FF7A70" w:rsidRPr="003B0A6C">
        <w:rPr>
          <w:rFonts w:asciiTheme="majorBidi" w:hAnsiTheme="majorBidi" w:cstheme="majorBidi"/>
          <w:sz w:val="20"/>
          <w:szCs w:val="20"/>
        </w:rPr>
        <w:t>)</w:t>
      </w:r>
      <w:r w:rsidR="009D3C05" w:rsidRPr="003B0A6C">
        <w:rPr>
          <w:rFonts w:asciiTheme="majorBidi" w:hAnsiTheme="majorBidi" w:cstheme="majorBidi"/>
          <w:sz w:val="20"/>
          <w:szCs w:val="20"/>
        </w:rPr>
        <w:t>,</w:t>
      </w:r>
      <w:r w:rsidR="00574DC0" w:rsidRPr="003B0A6C">
        <w:rPr>
          <w:rFonts w:asciiTheme="majorBidi" w:hAnsiTheme="majorBidi" w:cstheme="majorBidi"/>
          <w:sz w:val="20"/>
          <w:szCs w:val="20"/>
        </w:rPr>
        <w:t xml:space="preserve"> which is </w:t>
      </w:r>
      <w:r w:rsidR="002D619F" w:rsidRPr="003B0A6C">
        <w:rPr>
          <w:rFonts w:asciiTheme="majorBidi" w:hAnsiTheme="majorBidi" w:cstheme="majorBidi"/>
          <w:sz w:val="20"/>
          <w:szCs w:val="20"/>
        </w:rPr>
        <w:t xml:space="preserve">normalized to the corresponding Extension Control signal and subsequently </w:t>
      </w:r>
      <w:r w:rsidR="00D558E4" w:rsidRPr="003B0A6C">
        <w:rPr>
          <w:rFonts w:asciiTheme="majorBidi" w:hAnsiTheme="majorBidi" w:cstheme="majorBidi"/>
          <w:sz w:val="20"/>
          <w:szCs w:val="20"/>
        </w:rPr>
        <w:t>log2-transformed</w:t>
      </w:r>
      <w:r w:rsidR="002D619F" w:rsidRPr="003B0A6C">
        <w:rPr>
          <w:rFonts w:asciiTheme="majorBidi" w:hAnsiTheme="majorBidi" w:cstheme="majorBidi"/>
          <w:sz w:val="20"/>
          <w:szCs w:val="20"/>
        </w:rPr>
        <w:t xml:space="preserve">, </w:t>
      </w:r>
      <w:r w:rsidR="00615E12" w:rsidRPr="003B0A6C">
        <w:rPr>
          <w:rFonts w:asciiTheme="majorBidi" w:hAnsiTheme="majorBidi" w:cstheme="majorBidi"/>
          <w:sz w:val="20"/>
          <w:szCs w:val="20"/>
        </w:rPr>
        <w:t xml:space="preserve">providing </w:t>
      </w:r>
      <w:r w:rsidR="002D619F" w:rsidRPr="003B0A6C">
        <w:rPr>
          <w:rFonts w:asciiTheme="majorBidi" w:hAnsiTheme="majorBidi" w:cstheme="majorBidi"/>
          <w:sz w:val="20"/>
          <w:szCs w:val="20"/>
        </w:rPr>
        <w:t>a relative</w:t>
      </w:r>
      <w:r w:rsidR="00DB792F" w:rsidRPr="003B0A6C">
        <w:rPr>
          <w:rFonts w:asciiTheme="majorBidi" w:hAnsiTheme="majorBidi" w:cstheme="majorBidi"/>
          <w:sz w:val="20"/>
          <w:szCs w:val="20"/>
        </w:rPr>
        <w:t xml:space="preserve"> Quantification.</w:t>
      </w:r>
      <w:r w:rsidR="003D2846" w:rsidRPr="003B0A6C">
        <w:rPr>
          <w:rFonts w:asciiTheme="majorBidi" w:hAnsiTheme="majorBidi" w:cstheme="majorBidi"/>
          <w:sz w:val="20"/>
          <w:szCs w:val="20"/>
        </w:rPr>
        <w:t xml:space="preserve"> </w:t>
      </w:r>
      <w:r w:rsidR="009F1D72" w:rsidRPr="003B0A6C">
        <w:rPr>
          <w:rFonts w:asciiTheme="majorBidi" w:hAnsiTheme="majorBidi" w:cstheme="majorBidi"/>
          <w:sz w:val="20"/>
          <w:szCs w:val="20"/>
        </w:rPr>
        <w:t xml:space="preserve">Each </w:t>
      </w:r>
      <w:r w:rsidR="00406446" w:rsidRPr="003B0A6C">
        <w:rPr>
          <w:rFonts w:asciiTheme="majorBidi" w:hAnsiTheme="majorBidi" w:cstheme="majorBidi"/>
          <w:sz w:val="20"/>
          <w:szCs w:val="20"/>
        </w:rPr>
        <w:t>one-unit</w:t>
      </w:r>
      <w:r w:rsidR="009F1D72" w:rsidRPr="003B0A6C">
        <w:rPr>
          <w:rFonts w:asciiTheme="majorBidi" w:hAnsiTheme="majorBidi" w:cstheme="majorBidi"/>
          <w:sz w:val="20"/>
          <w:szCs w:val="20"/>
        </w:rPr>
        <w:t xml:space="preserve"> increase in NPX </w:t>
      </w:r>
      <w:r w:rsidR="00BB2173" w:rsidRPr="003B0A6C">
        <w:rPr>
          <w:rFonts w:asciiTheme="majorBidi" w:hAnsiTheme="majorBidi" w:cstheme="majorBidi"/>
          <w:sz w:val="20"/>
          <w:szCs w:val="20"/>
        </w:rPr>
        <w:t xml:space="preserve">represents a </w:t>
      </w:r>
      <w:r w:rsidR="0001182C" w:rsidRPr="003B0A6C">
        <w:rPr>
          <w:rFonts w:asciiTheme="majorBidi" w:hAnsiTheme="majorBidi" w:cstheme="majorBidi"/>
          <w:sz w:val="20"/>
          <w:szCs w:val="20"/>
        </w:rPr>
        <w:t xml:space="preserve">doubling </w:t>
      </w:r>
      <w:r w:rsidR="00406446" w:rsidRPr="003B0A6C">
        <w:rPr>
          <w:rFonts w:asciiTheme="majorBidi" w:hAnsiTheme="majorBidi" w:cstheme="majorBidi"/>
          <w:sz w:val="20"/>
          <w:szCs w:val="20"/>
        </w:rPr>
        <w:t xml:space="preserve">of </w:t>
      </w:r>
      <w:r w:rsidR="00A431FD" w:rsidRPr="003B0A6C">
        <w:rPr>
          <w:rFonts w:asciiTheme="majorBidi" w:hAnsiTheme="majorBidi" w:cstheme="majorBidi"/>
          <w:sz w:val="20"/>
          <w:szCs w:val="20"/>
        </w:rPr>
        <w:t>protein concentration</w:t>
      </w:r>
      <w:r w:rsidR="00103A45" w:rsidRPr="003B0A6C">
        <w:rPr>
          <w:rFonts w:asciiTheme="majorBidi" w:hAnsiTheme="majorBidi" w:cstheme="majorBidi"/>
          <w:sz w:val="20"/>
          <w:szCs w:val="20"/>
        </w:rPr>
        <w:t>.</w:t>
      </w:r>
      <w:r w:rsidR="00733E6F" w:rsidRPr="003B0A6C">
        <w:rPr>
          <w:rFonts w:asciiTheme="majorBidi" w:hAnsiTheme="majorBidi" w:cstheme="majorBidi"/>
          <w:sz w:val="20"/>
          <w:szCs w:val="20"/>
        </w:rPr>
        <w:t xml:space="preserve"> </w:t>
      </w:r>
      <w:r w:rsidR="0025044B" w:rsidRPr="003B0A6C">
        <w:rPr>
          <w:rFonts w:asciiTheme="majorBidi" w:hAnsiTheme="majorBidi" w:cstheme="majorBidi"/>
          <w:sz w:val="20"/>
          <w:szCs w:val="20"/>
        </w:rPr>
        <w:t>T</w:t>
      </w:r>
      <w:r w:rsidR="00490E5C" w:rsidRPr="003B0A6C">
        <w:rPr>
          <w:rFonts w:asciiTheme="majorBidi" w:hAnsiTheme="majorBidi" w:cstheme="majorBidi"/>
          <w:sz w:val="20"/>
          <w:szCs w:val="20"/>
        </w:rPr>
        <w:t xml:space="preserve">o remove systematic intensity differences and enable comparability across the dataset, the median NPX of each assay on each plate </w:t>
      </w:r>
      <w:r w:rsidR="00922683" w:rsidRPr="003B0A6C">
        <w:rPr>
          <w:rFonts w:asciiTheme="majorBidi" w:hAnsiTheme="majorBidi" w:cstheme="majorBidi"/>
          <w:sz w:val="20"/>
          <w:szCs w:val="20"/>
        </w:rPr>
        <w:t>was</w:t>
      </w:r>
      <w:r w:rsidR="00490E5C" w:rsidRPr="003B0A6C">
        <w:rPr>
          <w:rFonts w:asciiTheme="majorBidi" w:hAnsiTheme="majorBidi" w:cstheme="majorBidi"/>
          <w:sz w:val="20"/>
          <w:szCs w:val="20"/>
        </w:rPr>
        <w:t xml:space="preserve"> centered </w:t>
      </w:r>
      <w:r w:rsidR="00490960" w:rsidRPr="003B0A6C">
        <w:rPr>
          <w:rFonts w:asciiTheme="majorBidi" w:hAnsiTheme="majorBidi" w:cstheme="majorBidi"/>
          <w:sz w:val="20"/>
          <w:szCs w:val="20"/>
        </w:rPr>
        <w:t>at</w:t>
      </w:r>
      <w:r w:rsidR="00490E5C" w:rsidRPr="003B0A6C">
        <w:rPr>
          <w:rFonts w:asciiTheme="majorBidi" w:hAnsiTheme="majorBidi" w:cstheme="majorBidi"/>
          <w:sz w:val="20"/>
          <w:szCs w:val="20"/>
        </w:rPr>
        <w:t xml:space="preserve"> zero.</w:t>
      </w:r>
    </w:p>
    <w:p w14:paraId="100EE4ED" w14:textId="1959E5E6" w:rsidR="00653728" w:rsidRPr="004C5B88" w:rsidRDefault="00A20BFD" w:rsidP="003B0A6C">
      <w:pPr>
        <w:pStyle w:val="Heading1"/>
        <w:spacing w:line="276" w:lineRule="auto"/>
        <w:rPr>
          <w:rFonts w:asciiTheme="majorBidi" w:hAnsiTheme="majorBidi"/>
          <w:b/>
          <w:bCs/>
          <w:color w:val="auto"/>
          <w:sz w:val="20"/>
          <w:szCs w:val="20"/>
          <w:rtl/>
          <w:lang w:bidi="fa-IR"/>
        </w:rPr>
      </w:pPr>
      <w:r w:rsidRPr="004C5B88">
        <w:rPr>
          <w:rFonts w:asciiTheme="majorBidi" w:hAnsiTheme="majorBidi"/>
          <w:b/>
          <w:bCs/>
          <w:color w:val="auto"/>
          <w:sz w:val="20"/>
          <w:szCs w:val="20"/>
        </w:rPr>
        <w:lastRenderedPageBreak/>
        <w:t xml:space="preserve">Statistical analysis and machine </w:t>
      </w:r>
      <w:r w:rsidR="00490960" w:rsidRPr="004C5B88">
        <w:rPr>
          <w:rFonts w:asciiTheme="majorBidi" w:hAnsiTheme="majorBidi"/>
          <w:b/>
          <w:bCs/>
          <w:color w:val="auto"/>
          <w:sz w:val="20"/>
          <w:szCs w:val="20"/>
        </w:rPr>
        <w:t>learning</w:t>
      </w:r>
      <w:r w:rsidRPr="004C5B88">
        <w:rPr>
          <w:rFonts w:asciiTheme="majorBidi" w:hAnsiTheme="majorBidi"/>
          <w:b/>
          <w:bCs/>
          <w:color w:val="auto"/>
          <w:sz w:val="20"/>
          <w:szCs w:val="20"/>
        </w:rPr>
        <w:t xml:space="preserve"> </w:t>
      </w:r>
    </w:p>
    <w:p w14:paraId="585A6925" w14:textId="1F8090BA" w:rsidR="00653728" w:rsidRPr="004C5B88" w:rsidRDefault="00653728" w:rsidP="003B0A6C">
      <w:pPr>
        <w:spacing w:line="276" w:lineRule="auto"/>
        <w:rPr>
          <w:rFonts w:asciiTheme="majorBidi" w:hAnsiTheme="majorBidi" w:cstheme="majorBidi"/>
          <w:b/>
          <w:bCs/>
          <w:sz w:val="20"/>
          <w:szCs w:val="20"/>
        </w:rPr>
      </w:pPr>
      <w:r w:rsidRPr="004C5B88">
        <w:rPr>
          <w:rFonts w:asciiTheme="majorBidi" w:hAnsiTheme="majorBidi" w:cstheme="majorBidi"/>
          <w:b/>
          <w:bCs/>
          <w:sz w:val="20"/>
          <w:szCs w:val="20"/>
          <w:lang w:bidi="fa-IR"/>
        </w:rPr>
        <w:t>Exploratory Data Analysis</w:t>
      </w:r>
    </w:p>
    <w:p w14:paraId="58421493" w14:textId="185DF833" w:rsidR="00490E5C" w:rsidRPr="004C5B88" w:rsidRDefault="00D04B74" w:rsidP="003B0A6C">
      <w:pPr>
        <w:spacing w:line="276" w:lineRule="auto"/>
        <w:jc w:val="both"/>
        <w:rPr>
          <w:rFonts w:asciiTheme="majorBidi" w:hAnsiTheme="majorBidi" w:cstheme="majorBidi"/>
          <w:b/>
          <w:bCs/>
          <w:sz w:val="20"/>
          <w:szCs w:val="20"/>
          <w:rtl/>
        </w:rPr>
      </w:pPr>
      <w:r w:rsidRPr="003B0A6C">
        <w:rPr>
          <w:rFonts w:asciiTheme="majorBidi" w:hAnsiTheme="majorBidi" w:cstheme="majorBidi"/>
          <w:color w:val="000000" w:themeColor="text1"/>
          <w:sz w:val="20"/>
          <w:szCs w:val="20"/>
        </w:rPr>
        <w:t xml:space="preserve">To demonstrate </w:t>
      </w:r>
      <w:r w:rsidR="00490E5C" w:rsidRPr="003B0A6C">
        <w:rPr>
          <w:rFonts w:asciiTheme="majorBidi" w:hAnsiTheme="majorBidi" w:cstheme="majorBidi"/>
          <w:color w:val="000000" w:themeColor="text1"/>
          <w:sz w:val="20"/>
          <w:szCs w:val="20"/>
        </w:rPr>
        <w:t xml:space="preserve">the data pattern and structure, the data was projected </w:t>
      </w:r>
      <w:r w:rsidR="00150C7A" w:rsidRPr="003B0A6C">
        <w:rPr>
          <w:rFonts w:asciiTheme="majorBidi" w:hAnsiTheme="majorBidi" w:cstheme="majorBidi"/>
          <w:color w:val="000000" w:themeColor="text1"/>
          <w:sz w:val="20"/>
          <w:szCs w:val="20"/>
        </w:rPr>
        <w:t>into</w:t>
      </w:r>
      <w:r w:rsidR="00490E5C" w:rsidRPr="003B0A6C">
        <w:rPr>
          <w:rFonts w:asciiTheme="majorBidi" w:hAnsiTheme="majorBidi" w:cstheme="majorBidi"/>
          <w:color w:val="000000" w:themeColor="text1"/>
          <w:sz w:val="20"/>
          <w:szCs w:val="20"/>
        </w:rPr>
        <w:t xml:space="preserve"> simpler principal components</w:t>
      </w:r>
      <w:r w:rsidR="003E0339" w:rsidRPr="003B0A6C">
        <w:rPr>
          <w:rFonts w:asciiTheme="majorBidi" w:hAnsiTheme="majorBidi" w:cstheme="majorBidi"/>
          <w:color w:val="000000" w:themeColor="text1"/>
          <w:sz w:val="20"/>
          <w:szCs w:val="20"/>
        </w:rPr>
        <w:t xml:space="preserve">. </w:t>
      </w:r>
      <w:r w:rsidR="00ED3466" w:rsidRPr="003B0A6C">
        <w:rPr>
          <w:rFonts w:asciiTheme="majorBidi" w:hAnsiTheme="majorBidi" w:cstheme="majorBidi"/>
          <w:color w:val="000000" w:themeColor="text1"/>
          <w:sz w:val="20"/>
          <w:szCs w:val="20"/>
        </w:rPr>
        <w:t>The</w:t>
      </w:r>
      <w:r w:rsidR="00490E5C" w:rsidRPr="003B0A6C">
        <w:rPr>
          <w:rFonts w:asciiTheme="majorBidi" w:hAnsiTheme="majorBidi" w:cstheme="majorBidi"/>
          <w:color w:val="000000" w:themeColor="text1"/>
          <w:sz w:val="20"/>
          <w:szCs w:val="20"/>
        </w:rPr>
        <w:t xml:space="preserve"> </w:t>
      </w:r>
      <w:r w:rsidR="00ED3466" w:rsidRPr="003B0A6C">
        <w:rPr>
          <w:rFonts w:asciiTheme="majorBidi" w:hAnsiTheme="majorBidi" w:cstheme="majorBidi"/>
          <w:color w:val="000000" w:themeColor="text1"/>
          <w:sz w:val="20"/>
          <w:szCs w:val="20"/>
        </w:rPr>
        <w:t xml:space="preserve">majority of </w:t>
      </w:r>
      <w:r w:rsidR="00490E5C" w:rsidRPr="003B0A6C">
        <w:rPr>
          <w:rFonts w:asciiTheme="majorBidi" w:hAnsiTheme="majorBidi" w:cstheme="majorBidi"/>
          <w:color w:val="000000" w:themeColor="text1"/>
          <w:sz w:val="20"/>
          <w:szCs w:val="20"/>
        </w:rPr>
        <w:t>variation in the dataset</w:t>
      </w:r>
      <w:r w:rsidR="00ED3466" w:rsidRPr="003B0A6C">
        <w:rPr>
          <w:rFonts w:asciiTheme="majorBidi" w:hAnsiTheme="majorBidi" w:cstheme="majorBidi"/>
          <w:color w:val="000000" w:themeColor="text1"/>
          <w:sz w:val="20"/>
          <w:szCs w:val="20"/>
        </w:rPr>
        <w:t xml:space="preserve"> is captured</w:t>
      </w:r>
      <w:r w:rsidR="00490E5C" w:rsidRPr="003B0A6C">
        <w:rPr>
          <w:rFonts w:asciiTheme="majorBidi" w:hAnsiTheme="majorBidi" w:cstheme="majorBidi"/>
          <w:color w:val="000000" w:themeColor="text1"/>
          <w:sz w:val="20"/>
          <w:szCs w:val="20"/>
        </w:rPr>
        <w:t xml:space="preserve"> in PC1 (</w:t>
      </w:r>
      <w:r w:rsidR="00FF485F" w:rsidRPr="003B0A6C">
        <w:rPr>
          <w:rFonts w:asciiTheme="majorBidi" w:hAnsiTheme="majorBidi" w:cstheme="majorBidi"/>
          <w:color w:val="000000" w:themeColor="text1"/>
          <w:sz w:val="20"/>
          <w:szCs w:val="20"/>
        </w:rPr>
        <w:t xml:space="preserve">about </w:t>
      </w:r>
      <w:r w:rsidR="004E3376" w:rsidRPr="003B0A6C">
        <w:rPr>
          <w:rFonts w:asciiTheme="majorBidi" w:hAnsiTheme="majorBidi" w:cstheme="majorBidi"/>
          <w:color w:val="000000" w:themeColor="text1"/>
          <w:sz w:val="20"/>
          <w:szCs w:val="20"/>
        </w:rPr>
        <w:t xml:space="preserve">48% to </w:t>
      </w:r>
      <w:r w:rsidR="00490E5C" w:rsidRPr="003B0A6C">
        <w:rPr>
          <w:rFonts w:asciiTheme="majorBidi" w:hAnsiTheme="majorBidi" w:cstheme="majorBidi"/>
          <w:color w:val="000000" w:themeColor="text1"/>
          <w:sz w:val="20"/>
          <w:szCs w:val="20"/>
        </w:rPr>
        <w:t>65%</w:t>
      </w:r>
      <w:r w:rsidR="00440F01" w:rsidRPr="003B0A6C">
        <w:rPr>
          <w:rFonts w:asciiTheme="majorBidi" w:hAnsiTheme="majorBidi" w:cstheme="majorBidi"/>
          <w:color w:val="000000" w:themeColor="text1"/>
          <w:sz w:val="20"/>
          <w:szCs w:val="20"/>
        </w:rPr>
        <w:t>,</w:t>
      </w:r>
      <w:r w:rsidR="00FF485F" w:rsidRPr="003B0A6C">
        <w:rPr>
          <w:rFonts w:asciiTheme="majorBidi" w:hAnsiTheme="majorBidi" w:cstheme="majorBidi"/>
          <w:color w:val="000000" w:themeColor="text1"/>
          <w:sz w:val="20"/>
          <w:szCs w:val="20"/>
        </w:rPr>
        <w:t xml:space="preserve"> </w:t>
      </w:r>
      <w:r w:rsidR="007D05C5" w:rsidRPr="003B0A6C">
        <w:rPr>
          <w:rFonts w:asciiTheme="majorBidi" w:hAnsiTheme="majorBidi" w:cstheme="majorBidi"/>
          <w:color w:val="000000" w:themeColor="text1"/>
          <w:sz w:val="20"/>
          <w:szCs w:val="20"/>
        </w:rPr>
        <w:t>respectively</w:t>
      </w:r>
      <w:r w:rsidR="00105773" w:rsidRPr="003B0A6C">
        <w:rPr>
          <w:rFonts w:asciiTheme="majorBidi" w:hAnsiTheme="majorBidi" w:cstheme="majorBidi"/>
          <w:color w:val="000000" w:themeColor="text1"/>
          <w:sz w:val="20"/>
          <w:szCs w:val="20"/>
        </w:rPr>
        <w:t>,</w:t>
      </w:r>
      <w:r w:rsidR="007D05C5" w:rsidRPr="003B0A6C">
        <w:rPr>
          <w:rFonts w:asciiTheme="majorBidi" w:hAnsiTheme="majorBidi" w:cstheme="majorBidi"/>
          <w:color w:val="000000" w:themeColor="text1"/>
          <w:sz w:val="20"/>
          <w:szCs w:val="20"/>
        </w:rPr>
        <w:t xml:space="preserve"> </w:t>
      </w:r>
      <w:r w:rsidR="00FF485F" w:rsidRPr="003B0A6C">
        <w:rPr>
          <w:rFonts w:asciiTheme="majorBidi" w:hAnsiTheme="majorBidi" w:cstheme="majorBidi"/>
          <w:color w:val="000000" w:themeColor="text1"/>
          <w:sz w:val="20"/>
          <w:szCs w:val="20"/>
        </w:rPr>
        <w:t xml:space="preserve">in </w:t>
      </w:r>
      <w:r w:rsidR="00FD2FAA" w:rsidRPr="003B0A6C">
        <w:rPr>
          <w:rFonts w:asciiTheme="majorBidi" w:hAnsiTheme="majorBidi" w:cstheme="majorBidi"/>
          <w:color w:val="000000" w:themeColor="text1"/>
          <w:sz w:val="20"/>
          <w:szCs w:val="20"/>
        </w:rPr>
        <w:t xml:space="preserve">replication </w:t>
      </w:r>
      <w:r w:rsidR="00F16EE9" w:rsidRPr="003B0A6C">
        <w:rPr>
          <w:rFonts w:asciiTheme="majorBidi" w:hAnsiTheme="majorBidi" w:cstheme="majorBidi"/>
          <w:color w:val="000000" w:themeColor="text1"/>
          <w:sz w:val="20"/>
          <w:szCs w:val="20"/>
        </w:rPr>
        <w:t>and discovery</w:t>
      </w:r>
      <w:r w:rsidR="00490E5C" w:rsidRPr="003B0A6C">
        <w:rPr>
          <w:rFonts w:asciiTheme="majorBidi" w:hAnsiTheme="majorBidi" w:cstheme="majorBidi"/>
          <w:color w:val="000000" w:themeColor="text1"/>
          <w:sz w:val="20"/>
          <w:szCs w:val="20"/>
        </w:rPr>
        <w:t>) and PC2.</w:t>
      </w:r>
      <w:r w:rsidR="0038044C" w:rsidRPr="003B0A6C">
        <w:rPr>
          <w:rFonts w:asciiTheme="majorBidi" w:hAnsiTheme="majorBidi" w:cstheme="majorBidi"/>
          <w:color w:val="000000" w:themeColor="text1"/>
          <w:sz w:val="20"/>
          <w:szCs w:val="20"/>
        </w:rPr>
        <w:t xml:space="preserve"> </w:t>
      </w:r>
      <w:r w:rsidR="00440F01" w:rsidRPr="003B0A6C">
        <w:rPr>
          <w:rFonts w:asciiTheme="majorBidi" w:hAnsiTheme="majorBidi" w:cstheme="majorBidi"/>
          <w:color w:val="000000" w:themeColor="text1"/>
          <w:sz w:val="20"/>
          <w:szCs w:val="20"/>
        </w:rPr>
        <w:t xml:space="preserve">In addition to this, </w:t>
      </w:r>
      <w:r w:rsidR="001328CF" w:rsidRPr="003B0A6C">
        <w:rPr>
          <w:rFonts w:asciiTheme="majorBidi" w:hAnsiTheme="majorBidi" w:cstheme="majorBidi"/>
          <w:color w:val="000000" w:themeColor="text1"/>
          <w:sz w:val="20"/>
          <w:szCs w:val="20"/>
        </w:rPr>
        <w:t>Distinct clustering patterns were</w:t>
      </w:r>
      <w:r w:rsidR="00440F01" w:rsidRPr="003B0A6C">
        <w:rPr>
          <w:rFonts w:asciiTheme="majorBidi" w:hAnsiTheme="majorBidi" w:cstheme="majorBidi"/>
          <w:color w:val="000000" w:themeColor="text1"/>
          <w:sz w:val="20"/>
          <w:szCs w:val="20"/>
        </w:rPr>
        <w:t xml:space="preserve"> illustrated</w:t>
      </w:r>
      <w:r w:rsidR="00490E5C" w:rsidRPr="003B0A6C">
        <w:rPr>
          <w:rFonts w:asciiTheme="majorBidi" w:hAnsiTheme="majorBidi" w:cstheme="majorBidi"/>
          <w:color w:val="000000" w:themeColor="text1"/>
          <w:sz w:val="20"/>
          <w:szCs w:val="20"/>
        </w:rPr>
        <w:t xml:space="preserve">, including patients later diagnosed with cancer, non-cancerous conditions such as autoimmune, infectious, and inflammatory diagnoses, and those who received no diagnosis. Accordingly, a </w:t>
      </w:r>
      <w:r w:rsidR="00987156" w:rsidRPr="003B0A6C">
        <w:rPr>
          <w:rFonts w:asciiTheme="majorBidi" w:hAnsiTheme="majorBidi" w:cstheme="majorBidi"/>
          <w:color w:val="000000" w:themeColor="text1"/>
          <w:sz w:val="20"/>
          <w:szCs w:val="20"/>
        </w:rPr>
        <w:t xml:space="preserve">clear </w:t>
      </w:r>
      <w:r w:rsidR="00490E5C" w:rsidRPr="003B0A6C">
        <w:rPr>
          <w:rFonts w:asciiTheme="majorBidi" w:hAnsiTheme="majorBidi" w:cstheme="majorBidi"/>
          <w:color w:val="000000" w:themeColor="text1"/>
          <w:sz w:val="20"/>
          <w:szCs w:val="20"/>
        </w:rPr>
        <w:t>left-right separatio</w:t>
      </w:r>
      <w:r w:rsidR="00490E5C" w:rsidRPr="003B0A6C">
        <w:rPr>
          <w:rFonts w:asciiTheme="majorBidi" w:hAnsiTheme="majorBidi" w:cstheme="majorBidi"/>
          <w:sz w:val="20"/>
          <w:szCs w:val="20"/>
        </w:rPr>
        <w:t>n between groups along PC1</w:t>
      </w:r>
      <w:r w:rsidR="0038044C" w:rsidRPr="003B0A6C">
        <w:rPr>
          <w:rFonts w:asciiTheme="majorBidi" w:hAnsiTheme="majorBidi" w:cstheme="majorBidi"/>
          <w:sz w:val="20"/>
          <w:szCs w:val="20"/>
        </w:rPr>
        <w:t xml:space="preserve"> was generated</w:t>
      </w:r>
      <w:r w:rsidR="00341CCA" w:rsidRPr="003B0A6C">
        <w:rPr>
          <w:rFonts w:asciiTheme="majorBidi" w:hAnsiTheme="majorBidi" w:cstheme="majorBidi"/>
          <w:sz w:val="20"/>
          <w:szCs w:val="20"/>
        </w:rPr>
        <w:t xml:space="preserve"> that discriminate </w:t>
      </w:r>
      <w:r w:rsidR="00490E5C" w:rsidRPr="003B0A6C">
        <w:rPr>
          <w:rFonts w:asciiTheme="majorBidi" w:hAnsiTheme="majorBidi" w:cstheme="majorBidi"/>
          <w:sz w:val="20"/>
          <w:szCs w:val="20"/>
        </w:rPr>
        <w:t xml:space="preserve">no diagnosis </w:t>
      </w:r>
      <w:r w:rsidR="00755C17" w:rsidRPr="003B0A6C">
        <w:rPr>
          <w:rFonts w:asciiTheme="majorBidi" w:hAnsiTheme="majorBidi" w:cstheme="majorBidi"/>
          <w:sz w:val="20"/>
          <w:szCs w:val="20"/>
        </w:rPr>
        <w:t xml:space="preserve">cases </w:t>
      </w:r>
      <w:r w:rsidR="00490E5C" w:rsidRPr="003B0A6C">
        <w:rPr>
          <w:rFonts w:asciiTheme="majorBidi" w:hAnsiTheme="majorBidi" w:cstheme="majorBidi"/>
          <w:sz w:val="20"/>
          <w:szCs w:val="20"/>
        </w:rPr>
        <w:t>and other non-malignant</w:t>
      </w:r>
      <w:r w:rsidR="00755C17" w:rsidRPr="003B0A6C">
        <w:rPr>
          <w:rFonts w:asciiTheme="majorBidi" w:hAnsiTheme="majorBidi" w:cstheme="majorBidi"/>
          <w:sz w:val="20"/>
          <w:szCs w:val="20"/>
        </w:rPr>
        <w:t xml:space="preserve"> </w:t>
      </w:r>
      <w:r w:rsidR="00490E5C" w:rsidRPr="003B0A6C">
        <w:rPr>
          <w:rFonts w:asciiTheme="majorBidi" w:hAnsiTheme="majorBidi" w:cstheme="majorBidi"/>
          <w:sz w:val="20"/>
          <w:szCs w:val="20"/>
        </w:rPr>
        <w:t xml:space="preserve">diagnoses, and </w:t>
      </w:r>
      <w:r w:rsidR="00DC7D7C" w:rsidRPr="003B0A6C">
        <w:rPr>
          <w:rFonts w:asciiTheme="majorBidi" w:hAnsiTheme="majorBidi" w:cstheme="majorBidi"/>
          <w:sz w:val="20"/>
          <w:szCs w:val="20"/>
        </w:rPr>
        <w:t xml:space="preserve">the </w:t>
      </w:r>
      <w:r w:rsidR="00490E5C" w:rsidRPr="003B0A6C">
        <w:rPr>
          <w:rFonts w:asciiTheme="majorBidi" w:hAnsiTheme="majorBidi" w:cstheme="majorBidi"/>
          <w:sz w:val="20"/>
          <w:szCs w:val="20"/>
        </w:rPr>
        <w:t>cancer diagnoses</w:t>
      </w:r>
      <w:r w:rsidR="00DC7D7C" w:rsidRPr="003B0A6C">
        <w:rPr>
          <w:rFonts w:asciiTheme="majorBidi" w:hAnsiTheme="majorBidi" w:cstheme="majorBidi"/>
          <w:sz w:val="20"/>
          <w:szCs w:val="20"/>
        </w:rPr>
        <w:t xml:space="preserve"> group</w:t>
      </w:r>
      <w:r w:rsidR="00490E5C" w:rsidRPr="003B0A6C">
        <w:rPr>
          <w:rFonts w:asciiTheme="majorBidi" w:hAnsiTheme="majorBidi" w:cstheme="majorBidi"/>
          <w:sz w:val="20"/>
          <w:szCs w:val="20"/>
        </w:rPr>
        <w:t xml:space="preserve">. In both cohort the loading scores for PC1 for the proteins were similar, and NPX Levels </w:t>
      </w:r>
      <w:r w:rsidR="00F02D37" w:rsidRPr="003B0A6C">
        <w:rPr>
          <w:rFonts w:asciiTheme="majorBidi" w:hAnsiTheme="majorBidi" w:cstheme="majorBidi"/>
          <w:sz w:val="20"/>
          <w:szCs w:val="20"/>
        </w:rPr>
        <w:t>w</w:t>
      </w:r>
      <w:r w:rsidR="00490E5C" w:rsidRPr="003B0A6C">
        <w:rPr>
          <w:rFonts w:asciiTheme="majorBidi" w:hAnsiTheme="majorBidi" w:cstheme="majorBidi"/>
          <w:sz w:val="20"/>
          <w:szCs w:val="20"/>
        </w:rPr>
        <w:t>ere higher in cancer compared to other groups.</w:t>
      </w:r>
    </w:p>
    <w:p w14:paraId="52C61A26" w14:textId="14E60750" w:rsidR="00653728" w:rsidRPr="004C5B88" w:rsidRDefault="00653728" w:rsidP="003B0A6C">
      <w:pPr>
        <w:spacing w:line="276" w:lineRule="auto"/>
        <w:jc w:val="both"/>
        <w:rPr>
          <w:rFonts w:asciiTheme="majorBidi" w:hAnsiTheme="majorBidi" w:cstheme="majorBidi"/>
          <w:b/>
          <w:bCs/>
          <w:sz w:val="20"/>
          <w:szCs w:val="20"/>
        </w:rPr>
      </w:pPr>
      <w:r w:rsidRPr="004C5B88">
        <w:rPr>
          <w:rFonts w:asciiTheme="majorBidi" w:hAnsiTheme="majorBidi" w:cstheme="majorBidi"/>
          <w:b/>
          <w:bCs/>
          <w:sz w:val="20"/>
          <w:szCs w:val="20"/>
          <w:lang w:bidi="fa-IR"/>
        </w:rPr>
        <w:t>Differential Expression Analysis</w:t>
      </w:r>
    </w:p>
    <w:p w14:paraId="16473BD4" w14:textId="2AE0DCB2" w:rsidR="002D619F" w:rsidRPr="003B0A6C" w:rsidRDefault="00A20BFD" w:rsidP="003B0A6C">
      <w:pPr>
        <w:spacing w:line="276" w:lineRule="auto"/>
        <w:jc w:val="both"/>
        <w:rPr>
          <w:rFonts w:asciiTheme="majorBidi" w:hAnsiTheme="majorBidi" w:cstheme="majorBidi"/>
          <w:color w:val="EE0000"/>
          <w:sz w:val="20"/>
          <w:szCs w:val="20"/>
        </w:rPr>
      </w:pPr>
      <w:r w:rsidRPr="003B0A6C">
        <w:rPr>
          <w:rFonts w:asciiTheme="majorBidi" w:hAnsiTheme="majorBidi" w:cstheme="majorBidi"/>
          <w:sz w:val="20"/>
          <w:szCs w:val="20"/>
        </w:rPr>
        <w:t xml:space="preserve">Differential expression analysis </w:t>
      </w:r>
      <w:r w:rsidR="001C429F" w:rsidRPr="003B0A6C">
        <w:rPr>
          <w:rFonts w:asciiTheme="majorBidi" w:hAnsiTheme="majorBidi" w:cstheme="majorBidi"/>
          <w:sz w:val="20"/>
          <w:szCs w:val="20"/>
        </w:rPr>
        <w:t>was</w:t>
      </w:r>
      <w:r w:rsidRPr="003B0A6C">
        <w:rPr>
          <w:rFonts w:asciiTheme="majorBidi" w:hAnsiTheme="majorBidi" w:cstheme="majorBidi"/>
          <w:sz w:val="20"/>
          <w:szCs w:val="20"/>
        </w:rPr>
        <w:t xml:space="preserve"> performed between patient groups and controls by comparing their protein abundance among them using the NPX value</w:t>
      </w:r>
      <w:r w:rsidR="00123DD0" w:rsidRPr="003B0A6C">
        <w:rPr>
          <w:rFonts w:asciiTheme="majorBidi" w:hAnsiTheme="majorBidi" w:cstheme="majorBidi"/>
          <w:sz w:val="20"/>
          <w:szCs w:val="20"/>
        </w:rPr>
        <w:t xml:space="preserve"> and the </w:t>
      </w:r>
      <w:r w:rsidR="00123DD0" w:rsidRPr="003B0A6C">
        <w:rPr>
          <w:rFonts w:asciiTheme="majorBidi" w:hAnsiTheme="majorBidi" w:cstheme="majorBidi"/>
          <w:sz w:val="20"/>
          <w:szCs w:val="20"/>
          <w:lang w:bidi="fa-IR"/>
        </w:rPr>
        <w:t xml:space="preserve">linear models </w:t>
      </w:r>
      <w:proofErr w:type="spellStart"/>
      <w:r w:rsidR="00123DD0" w:rsidRPr="003B0A6C">
        <w:rPr>
          <w:rFonts w:asciiTheme="majorBidi" w:hAnsiTheme="majorBidi" w:cstheme="majorBidi"/>
          <w:sz w:val="20"/>
          <w:szCs w:val="20"/>
          <w:lang w:bidi="fa-IR"/>
        </w:rPr>
        <w:t>limma</w:t>
      </w:r>
      <w:proofErr w:type="spellEnd"/>
      <w:r w:rsidRPr="003B0A6C">
        <w:rPr>
          <w:rFonts w:asciiTheme="majorBidi" w:hAnsiTheme="majorBidi" w:cstheme="majorBidi"/>
          <w:sz w:val="20"/>
          <w:szCs w:val="20"/>
        </w:rPr>
        <w:t xml:space="preserve">. </w:t>
      </w:r>
      <w:r w:rsidRPr="003B0A6C">
        <w:rPr>
          <w:rFonts w:asciiTheme="majorBidi" w:hAnsiTheme="majorBidi" w:cstheme="majorBidi"/>
          <w:color w:val="000000" w:themeColor="text1"/>
          <w:sz w:val="20"/>
          <w:szCs w:val="20"/>
        </w:rPr>
        <w:t xml:space="preserve">In order to define the differential protein expression between </w:t>
      </w:r>
      <w:r w:rsidR="00406446" w:rsidRPr="003B0A6C">
        <w:rPr>
          <w:rFonts w:asciiTheme="majorBidi" w:hAnsiTheme="majorBidi" w:cstheme="majorBidi"/>
          <w:color w:val="000000" w:themeColor="text1"/>
          <w:sz w:val="20"/>
          <w:szCs w:val="20"/>
        </w:rPr>
        <w:t xml:space="preserve">the </w:t>
      </w:r>
      <w:r w:rsidRPr="003B0A6C">
        <w:rPr>
          <w:rFonts w:asciiTheme="majorBidi" w:hAnsiTheme="majorBidi" w:cstheme="majorBidi"/>
          <w:color w:val="000000" w:themeColor="text1"/>
          <w:sz w:val="20"/>
          <w:szCs w:val="20"/>
        </w:rPr>
        <w:t xml:space="preserve">cancer and non-cancer group, the model </w:t>
      </w:r>
      <w:proofErr w:type="spellStart"/>
      <w:r w:rsidRPr="003B0A6C">
        <w:rPr>
          <w:rFonts w:asciiTheme="majorBidi" w:hAnsiTheme="majorBidi" w:cstheme="majorBidi"/>
          <w:color w:val="000000" w:themeColor="text1"/>
          <w:sz w:val="20"/>
          <w:szCs w:val="20"/>
        </w:rPr>
        <w:t>limma</w:t>
      </w:r>
      <w:proofErr w:type="spellEnd"/>
      <w:r w:rsidRPr="003B0A6C">
        <w:rPr>
          <w:rFonts w:asciiTheme="majorBidi" w:hAnsiTheme="majorBidi" w:cstheme="majorBidi"/>
          <w:color w:val="000000" w:themeColor="text1"/>
          <w:sz w:val="20"/>
          <w:szCs w:val="20"/>
        </w:rPr>
        <w:t xml:space="preserve"> was used, which was </w:t>
      </w:r>
      <w:r w:rsidRPr="003B0A6C">
        <w:rPr>
          <w:rFonts w:asciiTheme="majorBidi" w:hAnsiTheme="majorBidi" w:cstheme="majorBidi"/>
          <w:sz w:val="20"/>
          <w:szCs w:val="20"/>
        </w:rPr>
        <w:t>calculated as log 2-fold change (</w:t>
      </w:r>
      <w:proofErr w:type="spellStart"/>
      <w:r w:rsidRPr="003B0A6C">
        <w:rPr>
          <w:rFonts w:asciiTheme="majorBidi" w:hAnsiTheme="majorBidi" w:cstheme="majorBidi"/>
          <w:sz w:val="20"/>
          <w:szCs w:val="20"/>
        </w:rPr>
        <w:t>logFC</w:t>
      </w:r>
      <w:proofErr w:type="spellEnd"/>
      <w:r w:rsidRPr="003B0A6C">
        <w:rPr>
          <w:rFonts w:asciiTheme="majorBidi" w:hAnsiTheme="majorBidi" w:cstheme="majorBidi"/>
          <w:sz w:val="20"/>
          <w:szCs w:val="20"/>
        </w:rPr>
        <w:t xml:space="preserve">). That shows more stable variance, and </w:t>
      </w:r>
      <w:r w:rsidR="004C5B88">
        <w:rPr>
          <w:rFonts w:asciiTheme="majorBidi" w:hAnsiTheme="majorBidi" w:cstheme="majorBidi"/>
          <w:sz w:val="20"/>
          <w:szCs w:val="20"/>
        </w:rPr>
        <w:t>enhances the</w:t>
      </w:r>
      <w:r w:rsidRPr="003B0A6C">
        <w:rPr>
          <w:rFonts w:asciiTheme="majorBidi" w:hAnsiTheme="majorBidi" w:cstheme="majorBidi"/>
          <w:sz w:val="20"/>
          <w:szCs w:val="20"/>
        </w:rPr>
        <w:t xml:space="preserve"> comparison of protein expression level. In this model, some filters, such as age, sex, and p-value using Benjamini–Hochberg (FDR)</w:t>
      </w:r>
      <w:r w:rsidR="00406446" w:rsidRPr="003B0A6C">
        <w:rPr>
          <w:rFonts w:asciiTheme="majorBidi" w:hAnsiTheme="majorBidi" w:cstheme="majorBidi"/>
          <w:sz w:val="20"/>
          <w:szCs w:val="20"/>
        </w:rPr>
        <w:t>,</w:t>
      </w:r>
      <w:r w:rsidRPr="003B0A6C">
        <w:rPr>
          <w:rFonts w:asciiTheme="majorBidi" w:hAnsiTheme="majorBidi" w:cstheme="majorBidi"/>
          <w:sz w:val="20"/>
          <w:szCs w:val="20"/>
        </w:rPr>
        <w:t xml:space="preserve"> were</w:t>
      </w:r>
      <w:r w:rsidR="00765A31" w:rsidRPr="003B0A6C">
        <w:rPr>
          <w:rFonts w:asciiTheme="majorBidi" w:hAnsiTheme="majorBidi" w:cstheme="majorBidi"/>
          <w:sz w:val="20"/>
          <w:szCs w:val="20"/>
        </w:rPr>
        <w:t xml:space="preserve"> </w:t>
      </w:r>
      <w:r w:rsidR="00BA0862" w:rsidRPr="003B0A6C">
        <w:rPr>
          <w:rFonts w:asciiTheme="majorBidi" w:hAnsiTheme="majorBidi" w:cstheme="majorBidi"/>
          <w:sz w:val="20"/>
          <w:szCs w:val="20"/>
        </w:rPr>
        <w:t>applied</w:t>
      </w:r>
      <w:r w:rsidRPr="003B0A6C">
        <w:rPr>
          <w:rFonts w:asciiTheme="majorBidi" w:hAnsiTheme="majorBidi" w:cstheme="majorBidi"/>
          <w:sz w:val="20"/>
          <w:szCs w:val="20"/>
        </w:rPr>
        <w:t>. In addition to this log fold change (</w:t>
      </w:r>
      <w:proofErr w:type="spellStart"/>
      <w:r w:rsidRPr="003B0A6C">
        <w:rPr>
          <w:rFonts w:asciiTheme="majorBidi" w:hAnsiTheme="majorBidi" w:cstheme="majorBidi"/>
          <w:sz w:val="20"/>
          <w:szCs w:val="20"/>
        </w:rPr>
        <w:t>logFC</w:t>
      </w:r>
      <w:proofErr w:type="spellEnd"/>
      <w:r w:rsidRPr="003B0A6C">
        <w:rPr>
          <w:rFonts w:asciiTheme="majorBidi" w:hAnsiTheme="majorBidi" w:cstheme="majorBidi"/>
          <w:sz w:val="20"/>
          <w:szCs w:val="20"/>
        </w:rPr>
        <w:t xml:space="preserve">)&gt;0.5 filter was </w:t>
      </w:r>
      <w:r w:rsidR="00D848D8" w:rsidRPr="003B0A6C">
        <w:rPr>
          <w:rFonts w:asciiTheme="majorBidi" w:hAnsiTheme="majorBidi" w:cstheme="majorBidi"/>
          <w:sz w:val="20"/>
          <w:szCs w:val="20"/>
        </w:rPr>
        <w:t>establi</w:t>
      </w:r>
      <w:r w:rsidR="00A92340" w:rsidRPr="003B0A6C">
        <w:rPr>
          <w:rFonts w:asciiTheme="majorBidi" w:hAnsiTheme="majorBidi" w:cstheme="majorBidi"/>
          <w:sz w:val="20"/>
          <w:szCs w:val="20"/>
        </w:rPr>
        <w:t>shed</w:t>
      </w:r>
      <w:r w:rsidRPr="003B0A6C">
        <w:rPr>
          <w:rFonts w:asciiTheme="majorBidi" w:hAnsiTheme="majorBidi" w:cstheme="majorBidi"/>
          <w:sz w:val="20"/>
          <w:szCs w:val="20"/>
        </w:rPr>
        <w:t xml:space="preserve">. Each one-unit increase in NPX results in </w:t>
      </w:r>
      <w:r w:rsidR="00A96A9B" w:rsidRPr="003B0A6C">
        <w:rPr>
          <w:rFonts w:asciiTheme="majorBidi" w:hAnsiTheme="majorBidi" w:cstheme="majorBidi"/>
          <w:sz w:val="20"/>
          <w:szCs w:val="20"/>
        </w:rPr>
        <w:t>greater than 1</w:t>
      </w:r>
      <w:r w:rsidR="00001ACD" w:rsidRPr="003B0A6C">
        <w:rPr>
          <w:rFonts w:asciiTheme="majorBidi" w:hAnsiTheme="majorBidi" w:cstheme="majorBidi"/>
          <w:sz w:val="20"/>
          <w:szCs w:val="20"/>
        </w:rPr>
        <w:t xml:space="preserve"> </w:t>
      </w:r>
      <w:r w:rsidR="00A96A9B" w:rsidRPr="003B0A6C">
        <w:rPr>
          <w:rFonts w:asciiTheme="majorBidi" w:hAnsiTheme="majorBidi" w:cstheme="majorBidi"/>
          <w:sz w:val="20"/>
          <w:szCs w:val="20"/>
        </w:rPr>
        <w:t xml:space="preserve">in </w:t>
      </w:r>
      <w:r w:rsidRPr="003B0A6C">
        <w:rPr>
          <w:rFonts w:asciiTheme="majorBidi" w:hAnsiTheme="majorBidi" w:cstheme="majorBidi"/>
          <w:sz w:val="20"/>
          <w:szCs w:val="20"/>
        </w:rPr>
        <w:t xml:space="preserve">the Odds Ratio </w:t>
      </w:r>
      <w:r w:rsidR="00A96A9B" w:rsidRPr="003B0A6C">
        <w:rPr>
          <w:rFonts w:asciiTheme="majorBidi" w:hAnsiTheme="majorBidi" w:cstheme="majorBidi"/>
          <w:sz w:val="20"/>
          <w:szCs w:val="20"/>
        </w:rPr>
        <w:t xml:space="preserve">value </w:t>
      </w:r>
      <w:r w:rsidRPr="003B0A6C">
        <w:rPr>
          <w:rFonts w:asciiTheme="majorBidi" w:hAnsiTheme="majorBidi" w:cstheme="majorBidi"/>
          <w:sz w:val="20"/>
          <w:szCs w:val="20"/>
        </w:rPr>
        <w:t>(OR), which indicates the cancer risk probability, and this is the model output</w:t>
      </w:r>
      <w:r w:rsidR="00A96A9B" w:rsidRPr="003B0A6C">
        <w:rPr>
          <w:rFonts w:asciiTheme="majorBidi" w:hAnsiTheme="majorBidi" w:cstheme="majorBidi"/>
          <w:sz w:val="20"/>
          <w:szCs w:val="20"/>
        </w:rPr>
        <w:t>.</w:t>
      </w:r>
      <w:r w:rsidR="00745AD5" w:rsidRPr="003B0A6C">
        <w:rPr>
          <w:rFonts w:asciiTheme="majorBidi" w:hAnsiTheme="majorBidi" w:cstheme="majorBidi"/>
          <w:sz w:val="20"/>
          <w:szCs w:val="20"/>
        </w:rPr>
        <w:t xml:space="preserve"> </w:t>
      </w:r>
      <w:r w:rsidR="00C22776" w:rsidRPr="003B0A6C">
        <w:rPr>
          <w:rFonts w:asciiTheme="majorBidi" w:hAnsiTheme="majorBidi" w:cstheme="majorBidi"/>
          <w:sz w:val="20"/>
          <w:szCs w:val="20"/>
        </w:rPr>
        <w:t xml:space="preserve">Several of </w:t>
      </w:r>
      <w:r w:rsidR="00F146B9" w:rsidRPr="003B0A6C">
        <w:rPr>
          <w:rFonts w:asciiTheme="majorBidi" w:hAnsiTheme="majorBidi" w:cstheme="majorBidi"/>
          <w:sz w:val="20"/>
          <w:szCs w:val="20"/>
        </w:rPr>
        <w:t>the identified</w:t>
      </w:r>
      <w:r w:rsidR="00C22776" w:rsidRPr="003B0A6C">
        <w:rPr>
          <w:rFonts w:asciiTheme="majorBidi" w:hAnsiTheme="majorBidi" w:cstheme="majorBidi"/>
          <w:sz w:val="20"/>
          <w:szCs w:val="20"/>
        </w:rPr>
        <w:t xml:space="preserve"> proteins were</w:t>
      </w:r>
      <w:r w:rsidR="001D0E46" w:rsidRPr="003B0A6C">
        <w:rPr>
          <w:rFonts w:asciiTheme="majorBidi" w:hAnsiTheme="majorBidi" w:cstheme="majorBidi"/>
          <w:sz w:val="20"/>
          <w:szCs w:val="20"/>
        </w:rPr>
        <w:t xml:space="preserve"> </w:t>
      </w:r>
      <w:r w:rsidR="00F146B9" w:rsidRPr="003B0A6C">
        <w:rPr>
          <w:rFonts w:asciiTheme="majorBidi" w:hAnsiTheme="majorBidi" w:cstheme="majorBidi"/>
          <w:sz w:val="20"/>
          <w:szCs w:val="20"/>
        </w:rPr>
        <w:t xml:space="preserve">characterized </w:t>
      </w:r>
      <w:r w:rsidR="00857756" w:rsidRPr="003B0A6C">
        <w:rPr>
          <w:rFonts w:asciiTheme="majorBidi" w:hAnsiTheme="majorBidi" w:cstheme="majorBidi"/>
          <w:sz w:val="20"/>
          <w:szCs w:val="20"/>
        </w:rPr>
        <w:t xml:space="preserve">as </w:t>
      </w:r>
      <w:r w:rsidR="001D0E46" w:rsidRPr="003B0A6C">
        <w:rPr>
          <w:rFonts w:asciiTheme="majorBidi" w:hAnsiTheme="majorBidi" w:cstheme="majorBidi"/>
          <w:sz w:val="20"/>
          <w:szCs w:val="20"/>
        </w:rPr>
        <w:t>cancer-related proteins</w:t>
      </w:r>
      <w:r w:rsidR="00745AD5" w:rsidRPr="003B0A6C">
        <w:rPr>
          <w:rFonts w:asciiTheme="majorBidi" w:hAnsiTheme="majorBidi" w:cstheme="majorBidi"/>
          <w:sz w:val="20"/>
          <w:szCs w:val="20"/>
        </w:rPr>
        <w:t>,</w:t>
      </w:r>
      <w:r w:rsidRPr="003B0A6C">
        <w:rPr>
          <w:rFonts w:asciiTheme="majorBidi" w:hAnsiTheme="majorBidi" w:cstheme="majorBidi"/>
          <w:sz w:val="20"/>
          <w:szCs w:val="20"/>
        </w:rPr>
        <w:t xml:space="preserve"> according to the Human Protein Atlas (v24.proteinatlas.org). </w:t>
      </w:r>
    </w:p>
    <w:p w14:paraId="7EC41FBA" w14:textId="31EE5D89" w:rsidR="00C32DBC" w:rsidRPr="004C5B88" w:rsidRDefault="002D3195" w:rsidP="003B0A6C">
      <w:pPr>
        <w:spacing w:line="276" w:lineRule="auto"/>
        <w:jc w:val="both"/>
        <w:rPr>
          <w:rFonts w:asciiTheme="majorBidi" w:hAnsiTheme="majorBidi" w:cstheme="majorBidi"/>
          <w:b/>
          <w:bCs/>
          <w:sz w:val="20"/>
          <w:szCs w:val="20"/>
        </w:rPr>
      </w:pPr>
      <w:r w:rsidRPr="004C5B88">
        <w:rPr>
          <w:rFonts w:asciiTheme="majorBidi" w:hAnsiTheme="majorBidi" w:cstheme="majorBidi"/>
          <w:b/>
          <w:bCs/>
          <w:sz w:val="20"/>
          <w:szCs w:val="20"/>
        </w:rPr>
        <w:t>Model</w:t>
      </w:r>
      <w:r w:rsidR="004F40CC" w:rsidRPr="004C5B88">
        <w:rPr>
          <w:rFonts w:asciiTheme="majorBidi" w:hAnsiTheme="majorBidi" w:cstheme="majorBidi"/>
          <w:b/>
          <w:bCs/>
          <w:sz w:val="20"/>
          <w:szCs w:val="20"/>
        </w:rPr>
        <w:t xml:space="preserve"> design </w:t>
      </w:r>
    </w:p>
    <w:p w14:paraId="265D1591" w14:textId="16F3367B" w:rsidR="00666FE8" w:rsidRPr="003B0A6C" w:rsidRDefault="003D52F0" w:rsidP="003B0A6C">
      <w:pPr>
        <w:spacing w:line="276" w:lineRule="auto"/>
        <w:jc w:val="both"/>
        <w:rPr>
          <w:rFonts w:asciiTheme="majorBidi" w:hAnsiTheme="majorBidi" w:cstheme="majorBidi"/>
          <w:color w:val="000000" w:themeColor="text1"/>
          <w:sz w:val="20"/>
          <w:szCs w:val="20"/>
        </w:rPr>
      </w:pPr>
      <w:r w:rsidRPr="003B0A6C">
        <w:rPr>
          <w:rFonts w:asciiTheme="majorBidi" w:hAnsiTheme="majorBidi" w:cstheme="majorBidi"/>
          <w:color w:val="000000" w:themeColor="text1"/>
          <w:sz w:val="20"/>
          <w:szCs w:val="20"/>
        </w:rPr>
        <w:t>A</w:t>
      </w:r>
      <w:r w:rsidR="0097339C" w:rsidRPr="003B0A6C">
        <w:rPr>
          <w:rFonts w:asciiTheme="majorBidi" w:hAnsiTheme="majorBidi" w:cstheme="majorBidi"/>
          <w:color w:val="000000" w:themeColor="text1"/>
          <w:sz w:val="20"/>
          <w:szCs w:val="20"/>
        </w:rPr>
        <w:t xml:space="preserve"> </w:t>
      </w:r>
      <w:r w:rsidR="0097339C" w:rsidRPr="003B0A6C">
        <w:rPr>
          <w:rFonts w:asciiTheme="majorBidi" w:hAnsiTheme="majorBidi" w:cstheme="majorBidi"/>
          <w:sz w:val="20"/>
          <w:szCs w:val="20"/>
        </w:rPr>
        <w:t xml:space="preserve">multivariate pan-cancer classification </w:t>
      </w:r>
      <w:r w:rsidR="007B290A" w:rsidRPr="003B0A6C">
        <w:rPr>
          <w:rFonts w:asciiTheme="majorBidi" w:hAnsiTheme="majorBidi" w:cstheme="majorBidi"/>
          <w:sz w:val="20"/>
          <w:szCs w:val="20"/>
        </w:rPr>
        <w:t xml:space="preserve">model </w:t>
      </w:r>
      <w:r w:rsidRPr="003B0A6C">
        <w:rPr>
          <w:rFonts w:asciiTheme="majorBidi" w:hAnsiTheme="majorBidi" w:cstheme="majorBidi"/>
          <w:sz w:val="20"/>
          <w:szCs w:val="20"/>
        </w:rPr>
        <w:t xml:space="preserve">was developed </w:t>
      </w:r>
      <w:r w:rsidRPr="003B0A6C">
        <w:rPr>
          <w:rFonts w:asciiTheme="majorBidi" w:hAnsiTheme="majorBidi" w:cstheme="majorBidi"/>
          <w:color w:val="000000" w:themeColor="text1"/>
          <w:sz w:val="20"/>
          <w:szCs w:val="20"/>
        </w:rPr>
        <w:t xml:space="preserve">using </w:t>
      </w:r>
      <w:r w:rsidR="0097339C" w:rsidRPr="003B0A6C">
        <w:rPr>
          <w:rFonts w:asciiTheme="majorBidi" w:hAnsiTheme="majorBidi" w:cstheme="majorBidi"/>
          <w:sz w:val="20"/>
          <w:szCs w:val="20"/>
        </w:rPr>
        <w:t>penal</w:t>
      </w:r>
      <w:r w:rsidR="0097339C" w:rsidRPr="003B0A6C">
        <w:rPr>
          <w:rFonts w:asciiTheme="majorBidi" w:hAnsiTheme="majorBidi" w:cstheme="majorBidi"/>
          <w:color w:val="000000" w:themeColor="text1"/>
          <w:sz w:val="20"/>
          <w:szCs w:val="20"/>
        </w:rPr>
        <w:t>ized logistic regression</w:t>
      </w:r>
      <w:r w:rsidR="007B290A" w:rsidRPr="003B0A6C">
        <w:rPr>
          <w:rFonts w:asciiTheme="majorBidi" w:hAnsiTheme="majorBidi" w:cstheme="majorBidi"/>
          <w:color w:val="000000" w:themeColor="text1"/>
          <w:sz w:val="20"/>
          <w:szCs w:val="20"/>
        </w:rPr>
        <w:t xml:space="preserve"> </w:t>
      </w:r>
      <w:r w:rsidR="007B290A" w:rsidRPr="003B0A6C">
        <w:rPr>
          <w:rFonts w:asciiTheme="majorBidi" w:hAnsiTheme="majorBidi" w:cstheme="majorBidi"/>
          <w:sz w:val="20"/>
          <w:szCs w:val="20"/>
          <w:lang w:bidi="fa-IR"/>
        </w:rPr>
        <w:t>(LASSO)</w:t>
      </w:r>
      <w:r w:rsidR="008058B8" w:rsidRPr="003B0A6C">
        <w:rPr>
          <w:rFonts w:asciiTheme="majorBidi" w:hAnsiTheme="majorBidi" w:cstheme="majorBidi"/>
          <w:color w:val="000000" w:themeColor="text1"/>
          <w:sz w:val="20"/>
          <w:szCs w:val="20"/>
        </w:rPr>
        <w:t xml:space="preserve"> based</w:t>
      </w:r>
      <w:r w:rsidR="0097339C" w:rsidRPr="003B0A6C">
        <w:rPr>
          <w:rFonts w:asciiTheme="majorBidi" w:hAnsiTheme="majorBidi" w:cstheme="majorBidi"/>
          <w:color w:val="000000" w:themeColor="text1"/>
          <w:sz w:val="20"/>
          <w:szCs w:val="20"/>
        </w:rPr>
        <w:t xml:space="preserve"> on proteomics data</w:t>
      </w:r>
      <w:r w:rsidR="002D619F" w:rsidRPr="003B0A6C">
        <w:rPr>
          <w:rFonts w:asciiTheme="majorBidi" w:hAnsiTheme="majorBidi" w:cstheme="majorBidi"/>
          <w:color w:val="000000" w:themeColor="text1"/>
          <w:sz w:val="20"/>
          <w:szCs w:val="20"/>
          <w:rtl/>
        </w:rPr>
        <w:t>.</w:t>
      </w:r>
      <w:r w:rsidR="00874557" w:rsidRPr="003B0A6C">
        <w:rPr>
          <w:rFonts w:asciiTheme="majorBidi" w:hAnsiTheme="majorBidi" w:cstheme="majorBidi"/>
          <w:color w:val="000000" w:themeColor="text1"/>
          <w:sz w:val="20"/>
          <w:szCs w:val="20"/>
          <w:rtl/>
        </w:rPr>
        <w:t xml:space="preserve"> </w:t>
      </w:r>
      <w:r w:rsidR="0097339C" w:rsidRPr="003B0A6C">
        <w:rPr>
          <w:rFonts w:asciiTheme="majorBidi" w:hAnsiTheme="majorBidi" w:cstheme="majorBidi"/>
          <w:color w:val="000000" w:themeColor="text1"/>
          <w:sz w:val="20"/>
          <w:szCs w:val="20"/>
        </w:rPr>
        <w:t xml:space="preserve">The protein data </w:t>
      </w:r>
      <w:r w:rsidR="00381683" w:rsidRPr="003B0A6C">
        <w:rPr>
          <w:rFonts w:asciiTheme="majorBidi" w:hAnsiTheme="majorBidi" w:cstheme="majorBidi"/>
          <w:color w:val="000000" w:themeColor="text1"/>
          <w:sz w:val="20"/>
          <w:szCs w:val="20"/>
        </w:rPr>
        <w:t xml:space="preserve">were </w:t>
      </w:r>
      <w:r w:rsidR="0097339C" w:rsidRPr="003B0A6C">
        <w:rPr>
          <w:rFonts w:asciiTheme="majorBidi" w:hAnsiTheme="majorBidi" w:cstheme="majorBidi"/>
          <w:color w:val="000000" w:themeColor="text1"/>
          <w:sz w:val="20"/>
          <w:szCs w:val="20"/>
        </w:rPr>
        <w:t xml:space="preserve">scaled between 0 and 1 based on their importance. The </w:t>
      </w:r>
      <w:r w:rsidR="004E0472" w:rsidRPr="003B0A6C">
        <w:rPr>
          <w:rFonts w:asciiTheme="majorBidi" w:hAnsiTheme="majorBidi" w:cstheme="majorBidi"/>
          <w:color w:val="000000" w:themeColor="text1"/>
          <w:sz w:val="20"/>
          <w:szCs w:val="20"/>
        </w:rPr>
        <w:t>Regularization</w:t>
      </w:r>
      <w:r w:rsidR="0097339C" w:rsidRPr="003B0A6C">
        <w:rPr>
          <w:rFonts w:asciiTheme="majorBidi" w:hAnsiTheme="majorBidi" w:cstheme="majorBidi"/>
          <w:color w:val="000000" w:themeColor="text1"/>
          <w:sz w:val="20"/>
          <w:szCs w:val="20"/>
        </w:rPr>
        <w:t xml:space="preserve"> </w:t>
      </w:r>
      <w:r w:rsidR="007B290A" w:rsidRPr="003B0A6C">
        <w:rPr>
          <w:rFonts w:asciiTheme="majorBidi" w:hAnsiTheme="majorBidi" w:cstheme="majorBidi"/>
          <w:color w:val="000000" w:themeColor="text1"/>
          <w:sz w:val="20"/>
          <w:szCs w:val="20"/>
        </w:rPr>
        <w:t>was applied</w:t>
      </w:r>
      <w:r w:rsidR="0097339C" w:rsidRPr="003B0A6C">
        <w:rPr>
          <w:rFonts w:asciiTheme="majorBidi" w:hAnsiTheme="majorBidi" w:cstheme="majorBidi"/>
          <w:color w:val="000000" w:themeColor="text1"/>
          <w:sz w:val="20"/>
          <w:szCs w:val="20"/>
        </w:rPr>
        <w:t xml:space="preserve"> </w:t>
      </w:r>
      <w:r w:rsidR="00A44CBE" w:rsidRPr="003B0A6C">
        <w:rPr>
          <w:rFonts w:asciiTheme="majorBidi" w:hAnsiTheme="majorBidi" w:cstheme="majorBidi"/>
          <w:color w:val="000000" w:themeColor="text1"/>
          <w:sz w:val="20"/>
          <w:szCs w:val="20"/>
        </w:rPr>
        <w:t xml:space="preserve">to </w:t>
      </w:r>
      <w:r w:rsidR="00431F1D" w:rsidRPr="003B0A6C">
        <w:rPr>
          <w:rFonts w:asciiTheme="majorBidi" w:hAnsiTheme="majorBidi" w:cstheme="majorBidi"/>
          <w:color w:val="000000" w:themeColor="text1"/>
          <w:sz w:val="20"/>
          <w:szCs w:val="20"/>
        </w:rPr>
        <w:t>decrease</w:t>
      </w:r>
      <w:r w:rsidR="0097339C" w:rsidRPr="003B0A6C">
        <w:rPr>
          <w:rFonts w:asciiTheme="majorBidi" w:hAnsiTheme="majorBidi" w:cstheme="majorBidi"/>
          <w:color w:val="000000" w:themeColor="text1"/>
          <w:sz w:val="20"/>
          <w:szCs w:val="20"/>
        </w:rPr>
        <w:t xml:space="preserve"> overfit risk</w:t>
      </w:r>
      <w:r w:rsidR="00A44CBE" w:rsidRPr="003B0A6C">
        <w:rPr>
          <w:rFonts w:asciiTheme="majorBidi" w:hAnsiTheme="majorBidi" w:cstheme="majorBidi"/>
          <w:color w:val="000000" w:themeColor="text1"/>
          <w:sz w:val="20"/>
          <w:szCs w:val="20"/>
        </w:rPr>
        <w:t xml:space="preserve"> with feature selection and </w:t>
      </w:r>
      <w:r w:rsidR="00431F1D" w:rsidRPr="003B0A6C">
        <w:rPr>
          <w:rFonts w:asciiTheme="majorBidi" w:hAnsiTheme="majorBidi" w:cstheme="majorBidi"/>
          <w:color w:val="000000" w:themeColor="text1"/>
          <w:sz w:val="20"/>
          <w:szCs w:val="20"/>
        </w:rPr>
        <w:t>eliminate less informative features.</w:t>
      </w:r>
    </w:p>
    <w:p w14:paraId="5C26F0B1" w14:textId="3B6D96EE" w:rsidR="00802C75" w:rsidRPr="003B0A6C" w:rsidRDefault="0097339C" w:rsidP="003B0A6C">
      <w:pPr>
        <w:spacing w:line="276" w:lineRule="auto"/>
        <w:jc w:val="both"/>
        <w:rPr>
          <w:rFonts w:asciiTheme="majorBidi" w:hAnsiTheme="majorBidi" w:cstheme="majorBidi"/>
          <w:color w:val="000000" w:themeColor="text1"/>
          <w:sz w:val="20"/>
          <w:szCs w:val="20"/>
        </w:rPr>
      </w:pPr>
      <w:r w:rsidRPr="003B0A6C">
        <w:rPr>
          <w:rFonts w:asciiTheme="majorBidi" w:hAnsiTheme="majorBidi" w:cstheme="majorBidi"/>
          <w:color w:val="000000" w:themeColor="text1"/>
          <w:sz w:val="20"/>
          <w:szCs w:val="20"/>
        </w:rPr>
        <w:t xml:space="preserve">The data was randomly </w:t>
      </w:r>
      <w:r w:rsidR="00381683" w:rsidRPr="003B0A6C">
        <w:rPr>
          <w:rFonts w:asciiTheme="majorBidi" w:hAnsiTheme="majorBidi" w:cstheme="majorBidi"/>
          <w:color w:val="000000" w:themeColor="text1"/>
          <w:sz w:val="20"/>
          <w:szCs w:val="20"/>
        </w:rPr>
        <w:t xml:space="preserve">partitioned by allocating </w:t>
      </w:r>
      <w:r w:rsidR="005D5CBC" w:rsidRPr="003B0A6C">
        <w:rPr>
          <w:rFonts w:asciiTheme="majorBidi" w:hAnsiTheme="majorBidi" w:cstheme="majorBidi"/>
          <w:color w:val="000000" w:themeColor="text1"/>
          <w:sz w:val="20"/>
          <w:szCs w:val="20"/>
        </w:rPr>
        <w:t>70</w:t>
      </w:r>
      <w:r w:rsidRPr="003B0A6C">
        <w:rPr>
          <w:rFonts w:asciiTheme="majorBidi" w:hAnsiTheme="majorBidi" w:cstheme="majorBidi"/>
          <w:color w:val="000000" w:themeColor="text1"/>
          <w:sz w:val="20"/>
          <w:szCs w:val="20"/>
        </w:rPr>
        <w:t>% of the data</w:t>
      </w:r>
      <w:r w:rsidR="00381683" w:rsidRPr="003B0A6C">
        <w:rPr>
          <w:rFonts w:asciiTheme="majorBidi" w:hAnsiTheme="majorBidi" w:cstheme="majorBidi"/>
          <w:color w:val="000000" w:themeColor="text1"/>
          <w:sz w:val="20"/>
          <w:szCs w:val="20"/>
        </w:rPr>
        <w:t xml:space="preserve"> to</w:t>
      </w:r>
      <w:r w:rsidR="005D5CBC" w:rsidRPr="003B0A6C">
        <w:rPr>
          <w:rFonts w:asciiTheme="majorBidi" w:hAnsiTheme="majorBidi" w:cstheme="majorBidi"/>
          <w:color w:val="000000" w:themeColor="text1"/>
          <w:sz w:val="20"/>
          <w:szCs w:val="20"/>
        </w:rPr>
        <w:t xml:space="preserve"> </w:t>
      </w:r>
      <w:r w:rsidR="004733D1" w:rsidRPr="003B0A6C">
        <w:rPr>
          <w:rFonts w:asciiTheme="majorBidi" w:hAnsiTheme="majorBidi" w:cstheme="majorBidi"/>
          <w:color w:val="000000" w:themeColor="text1"/>
          <w:sz w:val="20"/>
          <w:szCs w:val="20"/>
        </w:rPr>
        <w:t>the training</w:t>
      </w:r>
      <w:r w:rsidR="00381683" w:rsidRPr="003B0A6C">
        <w:rPr>
          <w:rFonts w:asciiTheme="majorBidi" w:hAnsiTheme="majorBidi" w:cstheme="majorBidi"/>
          <w:color w:val="000000" w:themeColor="text1"/>
          <w:sz w:val="20"/>
          <w:szCs w:val="20"/>
        </w:rPr>
        <w:t xml:space="preserve"> </w:t>
      </w:r>
      <w:r w:rsidR="00216399" w:rsidRPr="003B0A6C">
        <w:rPr>
          <w:rFonts w:asciiTheme="majorBidi" w:hAnsiTheme="majorBidi" w:cstheme="majorBidi"/>
          <w:color w:val="000000" w:themeColor="text1"/>
          <w:sz w:val="20"/>
          <w:szCs w:val="20"/>
        </w:rPr>
        <w:t xml:space="preserve">set </w:t>
      </w:r>
      <w:proofErr w:type="gramStart"/>
      <w:r w:rsidRPr="003B0A6C">
        <w:rPr>
          <w:rFonts w:asciiTheme="majorBidi" w:hAnsiTheme="majorBidi" w:cstheme="majorBidi"/>
          <w:color w:val="000000" w:themeColor="text1"/>
          <w:sz w:val="20"/>
          <w:szCs w:val="20"/>
        </w:rPr>
        <w:t xml:space="preserve">and  </w:t>
      </w:r>
      <w:r w:rsidR="005D5CBC" w:rsidRPr="003B0A6C">
        <w:rPr>
          <w:rFonts w:asciiTheme="majorBidi" w:hAnsiTheme="majorBidi" w:cstheme="majorBidi"/>
          <w:color w:val="000000" w:themeColor="text1"/>
          <w:sz w:val="20"/>
          <w:szCs w:val="20"/>
        </w:rPr>
        <w:t>30</w:t>
      </w:r>
      <w:proofErr w:type="gramEnd"/>
      <w:r w:rsidRPr="003B0A6C">
        <w:rPr>
          <w:rFonts w:asciiTheme="majorBidi" w:hAnsiTheme="majorBidi" w:cstheme="majorBidi"/>
          <w:color w:val="000000" w:themeColor="text1"/>
          <w:sz w:val="20"/>
          <w:szCs w:val="20"/>
        </w:rPr>
        <w:t xml:space="preserve"> % of the data </w:t>
      </w:r>
      <w:r w:rsidR="005D5CBC" w:rsidRPr="003B0A6C">
        <w:rPr>
          <w:rFonts w:asciiTheme="majorBidi" w:hAnsiTheme="majorBidi" w:cstheme="majorBidi"/>
          <w:color w:val="000000" w:themeColor="text1"/>
          <w:sz w:val="20"/>
          <w:szCs w:val="20"/>
        </w:rPr>
        <w:t xml:space="preserve">to </w:t>
      </w:r>
      <w:r w:rsidR="00216399" w:rsidRPr="003B0A6C">
        <w:rPr>
          <w:rFonts w:asciiTheme="majorBidi" w:hAnsiTheme="majorBidi" w:cstheme="majorBidi"/>
          <w:color w:val="000000" w:themeColor="text1"/>
          <w:sz w:val="20"/>
          <w:szCs w:val="20"/>
        </w:rPr>
        <w:t xml:space="preserve">the </w:t>
      </w:r>
      <w:r w:rsidR="005D5CBC" w:rsidRPr="003B0A6C">
        <w:rPr>
          <w:rFonts w:asciiTheme="majorBidi" w:hAnsiTheme="majorBidi" w:cstheme="majorBidi"/>
          <w:color w:val="000000" w:themeColor="text1"/>
          <w:sz w:val="20"/>
          <w:szCs w:val="20"/>
        </w:rPr>
        <w:t>test</w:t>
      </w:r>
      <w:r w:rsidR="00216399" w:rsidRPr="003B0A6C">
        <w:rPr>
          <w:rFonts w:asciiTheme="majorBidi" w:hAnsiTheme="majorBidi" w:cstheme="majorBidi"/>
          <w:color w:val="000000" w:themeColor="text1"/>
          <w:sz w:val="20"/>
          <w:szCs w:val="20"/>
        </w:rPr>
        <w:t xml:space="preserve"> set.</w:t>
      </w:r>
      <w:r w:rsidRPr="003B0A6C">
        <w:rPr>
          <w:rFonts w:asciiTheme="majorBidi" w:hAnsiTheme="majorBidi" w:cstheme="majorBidi"/>
          <w:color w:val="000000" w:themeColor="text1"/>
          <w:sz w:val="20"/>
          <w:szCs w:val="20"/>
        </w:rPr>
        <w:t xml:space="preserve"> </w:t>
      </w:r>
      <w:r w:rsidR="001A046C" w:rsidRPr="003B0A6C">
        <w:rPr>
          <w:rFonts w:asciiTheme="majorBidi" w:hAnsiTheme="majorBidi" w:cstheme="majorBidi"/>
          <w:sz w:val="20"/>
          <w:szCs w:val="20"/>
        </w:rPr>
        <w:t>T</w:t>
      </w:r>
      <w:r w:rsidRPr="003B0A6C">
        <w:rPr>
          <w:rFonts w:asciiTheme="majorBidi" w:hAnsiTheme="majorBidi" w:cstheme="majorBidi"/>
          <w:sz w:val="20"/>
          <w:szCs w:val="20"/>
        </w:rPr>
        <w:t xml:space="preserve">hree initial filtering criteria to reduce </w:t>
      </w:r>
      <w:r w:rsidR="001A046C" w:rsidRPr="003B0A6C">
        <w:rPr>
          <w:rFonts w:asciiTheme="majorBidi" w:hAnsiTheme="majorBidi" w:cstheme="majorBidi"/>
          <w:sz w:val="20"/>
          <w:szCs w:val="20"/>
        </w:rPr>
        <w:t xml:space="preserve">the </w:t>
      </w:r>
      <w:r w:rsidRPr="003B0A6C">
        <w:rPr>
          <w:rFonts w:asciiTheme="majorBidi" w:hAnsiTheme="majorBidi" w:cstheme="majorBidi"/>
          <w:sz w:val="20"/>
          <w:szCs w:val="20"/>
        </w:rPr>
        <w:t xml:space="preserve">number of features before model fitting were applied </w:t>
      </w:r>
      <w:r w:rsidR="004733D1" w:rsidRPr="003B0A6C">
        <w:rPr>
          <w:rFonts w:asciiTheme="majorBidi" w:hAnsiTheme="majorBidi" w:cstheme="majorBidi"/>
          <w:sz w:val="20"/>
          <w:szCs w:val="20"/>
        </w:rPr>
        <w:t xml:space="preserve">to </w:t>
      </w:r>
      <w:r w:rsidRPr="003B0A6C">
        <w:rPr>
          <w:rFonts w:asciiTheme="majorBidi" w:hAnsiTheme="majorBidi" w:cstheme="majorBidi"/>
          <w:sz w:val="20"/>
          <w:szCs w:val="20"/>
        </w:rPr>
        <w:t>a protein needed to meet at least one of the following: (</w:t>
      </w:r>
      <w:proofErr w:type="spellStart"/>
      <w:r w:rsidRPr="003B0A6C">
        <w:rPr>
          <w:rFonts w:asciiTheme="majorBidi" w:hAnsiTheme="majorBidi" w:cstheme="majorBidi"/>
          <w:sz w:val="20"/>
          <w:szCs w:val="20"/>
        </w:rPr>
        <w:t>i</w:t>
      </w:r>
      <w:proofErr w:type="spellEnd"/>
      <w:r w:rsidRPr="003B0A6C">
        <w:rPr>
          <w:rFonts w:asciiTheme="majorBidi" w:hAnsiTheme="majorBidi" w:cstheme="majorBidi"/>
          <w:sz w:val="20"/>
          <w:szCs w:val="20"/>
        </w:rPr>
        <w:t xml:space="preserve">) a mean NPX difference greater than 1, (ii) an adjusted p-value &lt; 1E−6 from a t-test, or (iii) an area under the receiver operating curve (AUC) &gt; 0.7 for individual proteins. </w:t>
      </w:r>
      <w:r w:rsidR="00BD2C1D" w:rsidRPr="003B0A6C">
        <w:rPr>
          <w:rFonts w:asciiTheme="majorBidi" w:hAnsiTheme="majorBidi" w:cstheme="majorBidi"/>
          <w:color w:val="000000" w:themeColor="text1"/>
          <w:sz w:val="20"/>
          <w:szCs w:val="20"/>
        </w:rPr>
        <w:t>T</w:t>
      </w:r>
      <w:r w:rsidR="00884EBE" w:rsidRPr="003B0A6C">
        <w:rPr>
          <w:rFonts w:asciiTheme="majorBidi" w:hAnsiTheme="majorBidi" w:cstheme="majorBidi"/>
          <w:color w:val="000000" w:themeColor="text1"/>
          <w:sz w:val="20"/>
          <w:szCs w:val="20"/>
        </w:rPr>
        <w:t>o</w:t>
      </w:r>
      <w:r w:rsidR="003C3A86" w:rsidRPr="003B0A6C">
        <w:rPr>
          <w:rFonts w:asciiTheme="majorBidi" w:hAnsiTheme="majorBidi" w:cstheme="majorBidi"/>
          <w:color w:val="000000" w:themeColor="text1"/>
          <w:sz w:val="20"/>
          <w:szCs w:val="20"/>
        </w:rPr>
        <w:t xml:space="preserve"> optimize the model, 10-fold cross-validation </w:t>
      </w:r>
      <w:r w:rsidR="00751F97" w:rsidRPr="003B0A6C">
        <w:rPr>
          <w:rFonts w:asciiTheme="majorBidi" w:hAnsiTheme="majorBidi" w:cstheme="majorBidi"/>
          <w:color w:val="000000" w:themeColor="text1"/>
          <w:sz w:val="20"/>
          <w:szCs w:val="20"/>
        </w:rPr>
        <w:t>was</w:t>
      </w:r>
      <w:r w:rsidR="003C3A86" w:rsidRPr="003B0A6C">
        <w:rPr>
          <w:rFonts w:asciiTheme="majorBidi" w:hAnsiTheme="majorBidi" w:cstheme="majorBidi"/>
          <w:color w:val="000000" w:themeColor="text1"/>
          <w:sz w:val="20"/>
          <w:szCs w:val="20"/>
        </w:rPr>
        <w:t xml:space="preserve"> performed on the training </w:t>
      </w:r>
      <w:r w:rsidR="003B05D4" w:rsidRPr="003B0A6C">
        <w:rPr>
          <w:rFonts w:asciiTheme="majorBidi" w:hAnsiTheme="majorBidi" w:cstheme="majorBidi"/>
          <w:color w:val="000000" w:themeColor="text1"/>
          <w:sz w:val="20"/>
          <w:szCs w:val="20"/>
        </w:rPr>
        <w:t xml:space="preserve">data by dividing </w:t>
      </w:r>
      <w:r w:rsidR="003C3A86" w:rsidRPr="003B0A6C">
        <w:rPr>
          <w:rFonts w:asciiTheme="majorBidi" w:hAnsiTheme="majorBidi" w:cstheme="majorBidi"/>
          <w:color w:val="000000" w:themeColor="text1"/>
          <w:sz w:val="20"/>
          <w:szCs w:val="20"/>
        </w:rPr>
        <w:t>the data into ten distinct subsets. In each iteration, the model was trained on nine folds</w:t>
      </w:r>
      <w:r w:rsidR="00884EBE" w:rsidRPr="003B0A6C">
        <w:rPr>
          <w:rFonts w:asciiTheme="majorBidi" w:hAnsiTheme="majorBidi" w:cstheme="majorBidi"/>
          <w:color w:val="000000" w:themeColor="text1"/>
          <w:sz w:val="20"/>
          <w:szCs w:val="20"/>
        </w:rPr>
        <w:t>,</w:t>
      </w:r>
      <w:r w:rsidR="003C3A86" w:rsidRPr="003B0A6C">
        <w:rPr>
          <w:rFonts w:asciiTheme="majorBidi" w:hAnsiTheme="majorBidi" w:cstheme="majorBidi"/>
          <w:color w:val="000000" w:themeColor="text1"/>
          <w:sz w:val="20"/>
          <w:szCs w:val="20"/>
        </w:rPr>
        <w:t xml:space="preserve"> </w:t>
      </w:r>
      <w:r w:rsidR="00F80E13" w:rsidRPr="003B0A6C">
        <w:rPr>
          <w:rFonts w:asciiTheme="majorBidi" w:hAnsiTheme="majorBidi" w:cstheme="majorBidi"/>
          <w:color w:val="000000" w:themeColor="text1"/>
          <w:sz w:val="20"/>
          <w:szCs w:val="20"/>
        </w:rPr>
        <w:t xml:space="preserve">and </w:t>
      </w:r>
      <w:r w:rsidR="003C3A86" w:rsidRPr="003B0A6C">
        <w:rPr>
          <w:rFonts w:asciiTheme="majorBidi" w:hAnsiTheme="majorBidi" w:cstheme="majorBidi"/>
          <w:color w:val="000000" w:themeColor="text1"/>
          <w:sz w:val="20"/>
          <w:szCs w:val="20"/>
        </w:rPr>
        <w:t xml:space="preserve">the tenth fold </w:t>
      </w:r>
      <w:r w:rsidR="00567ED2" w:rsidRPr="003B0A6C">
        <w:rPr>
          <w:rFonts w:asciiTheme="majorBidi" w:hAnsiTheme="majorBidi" w:cstheme="majorBidi"/>
          <w:color w:val="000000" w:themeColor="text1"/>
          <w:sz w:val="20"/>
          <w:szCs w:val="20"/>
        </w:rPr>
        <w:t>was</w:t>
      </w:r>
      <w:r w:rsidR="00567ED2" w:rsidRPr="003B0A6C">
        <w:rPr>
          <w:rFonts w:asciiTheme="majorBidi" w:hAnsiTheme="majorBidi" w:cstheme="majorBidi"/>
          <w:color w:val="000000" w:themeColor="text1"/>
          <w:sz w:val="20"/>
          <w:szCs w:val="20"/>
          <w:rtl/>
        </w:rPr>
        <w:t xml:space="preserve"> </w:t>
      </w:r>
      <w:r w:rsidR="00567ED2" w:rsidRPr="003B0A6C">
        <w:rPr>
          <w:rFonts w:asciiTheme="majorBidi" w:hAnsiTheme="majorBidi" w:cstheme="majorBidi"/>
          <w:color w:val="000000" w:themeColor="text1"/>
          <w:sz w:val="20"/>
          <w:szCs w:val="20"/>
        </w:rPr>
        <w:t xml:space="preserve">allocated for </w:t>
      </w:r>
      <w:r w:rsidR="003C3A86" w:rsidRPr="003B0A6C">
        <w:rPr>
          <w:rFonts w:asciiTheme="majorBidi" w:hAnsiTheme="majorBidi" w:cstheme="majorBidi"/>
          <w:color w:val="000000" w:themeColor="text1"/>
          <w:sz w:val="20"/>
          <w:szCs w:val="20"/>
        </w:rPr>
        <w:t>validation</w:t>
      </w:r>
      <w:r w:rsidR="00567ED2" w:rsidRPr="003B0A6C">
        <w:rPr>
          <w:rFonts w:asciiTheme="majorBidi" w:hAnsiTheme="majorBidi" w:cstheme="majorBidi"/>
          <w:color w:val="000000" w:themeColor="text1"/>
          <w:sz w:val="20"/>
          <w:szCs w:val="20"/>
        </w:rPr>
        <w:t>.</w:t>
      </w:r>
      <w:r w:rsidR="0081270B" w:rsidRPr="003B0A6C">
        <w:rPr>
          <w:rFonts w:asciiTheme="majorBidi" w:hAnsiTheme="majorBidi" w:cstheme="majorBidi"/>
          <w:b/>
          <w:bCs/>
          <w:color w:val="000000" w:themeColor="text1"/>
          <w:sz w:val="20"/>
          <w:szCs w:val="20"/>
        </w:rPr>
        <w:t xml:space="preserve"> </w:t>
      </w:r>
      <w:r w:rsidRPr="003B0A6C">
        <w:rPr>
          <w:rFonts w:asciiTheme="majorBidi" w:hAnsiTheme="majorBidi" w:cstheme="majorBidi"/>
          <w:color w:val="000000" w:themeColor="text1"/>
          <w:sz w:val="20"/>
          <w:szCs w:val="20"/>
        </w:rPr>
        <w:t xml:space="preserve">Through these </w:t>
      </w:r>
      <w:r w:rsidR="004C5B88">
        <w:rPr>
          <w:rFonts w:asciiTheme="majorBidi" w:hAnsiTheme="majorBidi" w:cstheme="majorBidi"/>
          <w:color w:val="000000" w:themeColor="text1"/>
          <w:sz w:val="20"/>
          <w:szCs w:val="20"/>
        </w:rPr>
        <w:t>selections,</w:t>
      </w:r>
      <w:r w:rsidRPr="003B0A6C">
        <w:rPr>
          <w:rFonts w:asciiTheme="majorBidi" w:hAnsiTheme="majorBidi" w:cstheme="majorBidi"/>
          <w:color w:val="000000" w:themeColor="text1"/>
          <w:sz w:val="20"/>
          <w:szCs w:val="20"/>
        </w:rPr>
        <w:t xml:space="preserve"> 29 proteins were </w:t>
      </w:r>
      <w:r w:rsidR="008F4732" w:rsidRPr="003B0A6C">
        <w:rPr>
          <w:rFonts w:asciiTheme="majorBidi" w:hAnsiTheme="majorBidi" w:cstheme="majorBidi"/>
          <w:color w:val="000000" w:themeColor="text1"/>
          <w:sz w:val="20"/>
          <w:szCs w:val="20"/>
        </w:rPr>
        <w:t>identified</w:t>
      </w:r>
      <w:r w:rsidRPr="003B0A6C">
        <w:rPr>
          <w:rFonts w:asciiTheme="majorBidi" w:hAnsiTheme="majorBidi" w:cstheme="majorBidi"/>
          <w:color w:val="000000" w:themeColor="text1"/>
          <w:sz w:val="20"/>
          <w:szCs w:val="20"/>
        </w:rPr>
        <w:t xml:space="preserve"> as input for the model. </w:t>
      </w:r>
    </w:p>
    <w:p w14:paraId="2810DF93" w14:textId="4598701C" w:rsidR="00802C75" w:rsidRPr="004C5B88" w:rsidRDefault="00802C75" w:rsidP="003B0A6C">
      <w:pPr>
        <w:spacing w:line="276" w:lineRule="auto"/>
        <w:jc w:val="both"/>
        <w:rPr>
          <w:rFonts w:asciiTheme="majorBidi" w:hAnsiTheme="majorBidi" w:cstheme="majorBidi"/>
          <w:b/>
          <w:bCs/>
          <w:color w:val="000000" w:themeColor="text1"/>
          <w:sz w:val="20"/>
          <w:szCs w:val="20"/>
        </w:rPr>
      </w:pPr>
      <w:r w:rsidRPr="004C5B88">
        <w:rPr>
          <w:rFonts w:asciiTheme="majorBidi" w:hAnsiTheme="majorBidi" w:cstheme="majorBidi"/>
          <w:b/>
          <w:bCs/>
          <w:color w:val="000000" w:themeColor="text1"/>
          <w:sz w:val="20"/>
          <w:szCs w:val="20"/>
        </w:rPr>
        <w:t xml:space="preserve">Model </w:t>
      </w:r>
      <w:r w:rsidR="00C32DBC" w:rsidRPr="004C5B88">
        <w:rPr>
          <w:rFonts w:asciiTheme="majorBidi" w:hAnsiTheme="majorBidi" w:cstheme="majorBidi"/>
          <w:b/>
          <w:bCs/>
          <w:color w:val="000000" w:themeColor="text1"/>
          <w:sz w:val="20"/>
          <w:szCs w:val="20"/>
        </w:rPr>
        <w:t>performance</w:t>
      </w:r>
    </w:p>
    <w:p w14:paraId="14EB384F" w14:textId="27C4E518" w:rsidR="00490E5C" w:rsidRPr="003B0A6C" w:rsidRDefault="004A34AB" w:rsidP="003B0A6C">
      <w:pPr>
        <w:spacing w:line="276" w:lineRule="auto"/>
        <w:jc w:val="both"/>
        <w:rPr>
          <w:rFonts w:asciiTheme="majorBidi" w:hAnsiTheme="majorBidi" w:cstheme="majorBidi"/>
          <w:sz w:val="20"/>
          <w:szCs w:val="20"/>
        </w:rPr>
      </w:pPr>
      <w:r w:rsidRPr="003B0A6C">
        <w:rPr>
          <w:rFonts w:asciiTheme="majorBidi" w:hAnsiTheme="majorBidi" w:cstheme="majorBidi"/>
          <w:sz w:val="20"/>
          <w:szCs w:val="20"/>
        </w:rPr>
        <w:t xml:space="preserve">The model </w:t>
      </w:r>
      <w:r w:rsidR="00F670B5" w:rsidRPr="003B0A6C">
        <w:rPr>
          <w:rFonts w:asciiTheme="majorBidi" w:hAnsiTheme="majorBidi" w:cstheme="majorBidi"/>
          <w:sz w:val="20"/>
          <w:szCs w:val="20"/>
        </w:rPr>
        <w:t>demonstrated robust perfor</w:t>
      </w:r>
      <w:r w:rsidR="00C60A6F" w:rsidRPr="003B0A6C">
        <w:rPr>
          <w:rFonts w:asciiTheme="majorBidi" w:hAnsiTheme="majorBidi" w:cstheme="majorBidi"/>
          <w:sz w:val="20"/>
          <w:szCs w:val="20"/>
        </w:rPr>
        <w:t xml:space="preserve">mance </w:t>
      </w:r>
      <w:r w:rsidRPr="003B0A6C">
        <w:rPr>
          <w:rFonts w:asciiTheme="majorBidi" w:hAnsiTheme="majorBidi" w:cstheme="majorBidi"/>
          <w:sz w:val="20"/>
          <w:szCs w:val="20"/>
        </w:rPr>
        <w:t xml:space="preserve">with an Area Under the Curve (AUC) of 0.80 </w:t>
      </w:r>
      <w:r w:rsidR="00747472" w:rsidRPr="003B0A6C">
        <w:rPr>
          <w:rFonts w:asciiTheme="majorBidi" w:hAnsiTheme="majorBidi" w:cstheme="majorBidi"/>
          <w:sz w:val="20"/>
          <w:szCs w:val="20"/>
        </w:rPr>
        <w:t>in</w:t>
      </w:r>
      <w:r w:rsidRPr="003B0A6C">
        <w:rPr>
          <w:rFonts w:asciiTheme="majorBidi" w:hAnsiTheme="majorBidi" w:cstheme="majorBidi"/>
          <w:sz w:val="20"/>
          <w:szCs w:val="20"/>
        </w:rPr>
        <w:t xml:space="preserve"> the discovery cohort</w:t>
      </w:r>
      <w:r w:rsidR="00747472" w:rsidRPr="003B0A6C">
        <w:rPr>
          <w:rFonts w:asciiTheme="majorBidi" w:hAnsiTheme="majorBidi" w:cstheme="majorBidi"/>
          <w:sz w:val="20"/>
          <w:szCs w:val="20"/>
        </w:rPr>
        <w:t xml:space="preserve"> and maintained </w:t>
      </w:r>
      <w:r w:rsidRPr="003B0A6C">
        <w:rPr>
          <w:rFonts w:asciiTheme="majorBidi" w:hAnsiTheme="majorBidi" w:cstheme="majorBidi"/>
          <w:sz w:val="20"/>
          <w:szCs w:val="20"/>
        </w:rPr>
        <w:t>performance with an AUC of 0.82 when applied to the replication cohort</w:t>
      </w:r>
      <w:r w:rsidR="00F31491" w:rsidRPr="003B0A6C">
        <w:rPr>
          <w:rFonts w:asciiTheme="majorBidi" w:hAnsiTheme="majorBidi" w:cstheme="majorBidi"/>
          <w:sz w:val="20"/>
          <w:szCs w:val="20"/>
        </w:rPr>
        <w:t xml:space="preserve">. </w:t>
      </w:r>
      <w:r w:rsidR="00702CFD" w:rsidRPr="003B0A6C">
        <w:rPr>
          <w:rFonts w:asciiTheme="majorBidi" w:hAnsiTheme="majorBidi" w:cstheme="majorBidi"/>
          <w:sz w:val="20"/>
          <w:szCs w:val="20"/>
        </w:rPr>
        <w:t>In the subgroup analysis, the AUC score for distinguishing cancer from the No Diagnosis group was 0.86, while the scores for Infectious, Autoimmune, and Inflammatory diseases were 0.76, 0.75, and 0.67, respectively.</w:t>
      </w:r>
      <w:r w:rsidR="00744AA3" w:rsidRPr="003B0A6C">
        <w:rPr>
          <w:rFonts w:asciiTheme="majorBidi" w:hAnsiTheme="majorBidi" w:cstheme="majorBidi"/>
          <w:sz w:val="20"/>
          <w:szCs w:val="20"/>
        </w:rPr>
        <w:t xml:space="preserve"> </w:t>
      </w:r>
      <w:r w:rsidR="00564B67" w:rsidRPr="003B0A6C">
        <w:rPr>
          <w:rFonts w:asciiTheme="majorBidi" w:hAnsiTheme="majorBidi" w:cstheme="majorBidi"/>
          <w:sz w:val="20"/>
          <w:szCs w:val="20"/>
        </w:rPr>
        <w:t>Unlike other results</w:t>
      </w:r>
      <w:r w:rsidR="00CC47A6" w:rsidRPr="003B0A6C">
        <w:rPr>
          <w:rFonts w:asciiTheme="majorBidi" w:hAnsiTheme="majorBidi" w:cstheme="majorBidi"/>
          <w:sz w:val="20"/>
          <w:szCs w:val="20"/>
        </w:rPr>
        <w:t xml:space="preserve">, </w:t>
      </w:r>
      <w:r w:rsidR="00564B67" w:rsidRPr="003B0A6C">
        <w:rPr>
          <w:rFonts w:asciiTheme="majorBidi" w:hAnsiTheme="majorBidi" w:cstheme="majorBidi"/>
          <w:sz w:val="20"/>
          <w:szCs w:val="20"/>
        </w:rPr>
        <w:t xml:space="preserve">the discrimination between Inflammatory and Cancer conditions </w:t>
      </w:r>
      <w:r w:rsidR="00EA004E" w:rsidRPr="003B0A6C">
        <w:rPr>
          <w:rFonts w:asciiTheme="majorBidi" w:hAnsiTheme="majorBidi" w:cstheme="majorBidi"/>
          <w:sz w:val="20"/>
          <w:szCs w:val="20"/>
          <w:lang w:bidi="fa-IR"/>
        </w:rPr>
        <w:t xml:space="preserve">was </w:t>
      </w:r>
      <w:r w:rsidR="000D509F" w:rsidRPr="003B0A6C">
        <w:rPr>
          <w:rFonts w:asciiTheme="majorBidi" w:hAnsiTheme="majorBidi" w:cstheme="majorBidi"/>
          <w:sz w:val="20"/>
          <w:szCs w:val="20"/>
          <w:lang w:bidi="fa-IR"/>
        </w:rPr>
        <w:t xml:space="preserve">not </w:t>
      </w:r>
      <w:r w:rsidR="00564B67" w:rsidRPr="003B0A6C">
        <w:rPr>
          <w:rFonts w:asciiTheme="majorBidi" w:hAnsiTheme="majorBidi" w:cstheme="majorBidi"/>
          <w:sz w:val="20"/>
          <w:szCs w:val="20"/>
        </w:rPr>
        <w:t xml:space="preserve">robust enough. </w:t>
      </w:r>
      <w:r w:rsidR="00B26C3A" w:rsidRPr="003B0A6C">
        <w:rPr>
          <w:rFonts w:asciiTheme="majorBidi" w:hAnsiTheme="majorBidi" w:cstheme="majorBidi"/>
          <w:sz w:val="20"/>
          <w:szCs w:val="20"/>
        </w:rPr>
        <w:t xml:space="preserve">Among </w:t>
      </w:r>
      <w:r w:rsidR="00422273" w:rsidRPr="003B0A6C">
        <w:rPr>
          <w:rFonts w:asciiTheme="majorBidi" w:hAnsiTheme="majorBidi" w:cstheme="majorBidi"/>
          <w:sz w:val="20"/>
          <w:szCs w:val="20"/>
        </w:rPr>
        <w:t xml:space="preserve">the identified proteins, </w:t>
      </w:r>
      <w:r w:rsidR="0036040D" w:rsidRPr="003B0A6C">
        <w:rPr>
          <w:rFonts w:asciiTheme="majorBidi" w:hAnsiTheme="majorBidi" w:cstheme="majorBidi"/>
          <w:sz w:val="20"/>
          <w:szCs w:val="20"/>
        </w:rPr>
        <w:t>six</w:t>
      </w:r>
      <w:r w:rsidR="00705176" w:rsidRPr="003B0A6C">
        <w:rPr>
          <w:rFonts w:asciiTheme="majorBidi" w:hAnsiTheme="majorBidi" w:cstheme="majorBidi"/>
          <w:sz w:val="20"/>
          <w:szCs w:val="20"/>
        </w:rPr>
        <w:t xml:space="preserve"> </w:t>
      </w:r>
      <w:r w:rsidR="0097451B" w:rsidRPr="003B0A6C">
        <w:rPr>
          <w:rFonts w:asciiTheme="majorBidi" w:hAnsiTheme="majorBidi" w:cstheme="majorBidi"/>
          <w:sz w:val="20"/>
          <w:szCs w:val="20"/>
        </w:rPr>
        <w:t>proteins</w:t>
      </w:r>
      <w:r w:rsidR="00705176" w:rsidRPr="003B0A6C">
        <w:rPr>
          <w:rFonts w:asciiTheme="majorBidi" w:hAnsiTheme="majorBidi" w:cstheme="majorBidi"/>
          <w:sz w:val="20"/>
          <w:szCs w:val="20"/>
        </w:rPr>
        <w:t xml:space="preserve"> were</w:t>
      </w:r>
      <w:r w:rsidR="00564B67" w:rsidRPr="003B0A6C">
        <w:rPr>
          <w:rFonts w:asciiTheme="majorBidi" w:hAnsiTheme="majorBidi" w:cstheme="majorBidi"/>
          <w:sz w:val="20"/>
          <w:szCs w:val="20"/>
        </w:rPr>
        <w:t xml:space="preserve"> </w:t>
      </w:r>
      <w:r w:rsidR="00422273" w:rsidRPr="003B0A6C">
        <w:rPr>
          <w:rFonts w:asciiTheme="majorBidi" w:hAnsiTheme="majorBidi" w:cstheme="majorBidi"/>
          <w:sz w:val="20"/>
          <w:szCs w:val="20"/>
        </w:rPr>
        <w:t>selected</w:t>
      </w:r>
      <w:r w:rsidR="00564B67" w:rsidRPr="003B0A6C">
        <w:rPr>
          <w:rFonts w:asciiTheme="majorBidi" w:hAnsiTheme="majorBidi" w:cstheme="majorBidi"/>
          <w:sz w:val="20"/>
          <w:szCs w:val="20"/>
        </w:rPr>
        <w:t xml:space="preserve"> </w:t>
      </w:r>
      <w:r w:rsidR="00705176" w:rsidRPr="003B0A6C">
        <w:rPr>
          <w:rFonts w:asciiTheme="majorBidi" w:hAnsiTheme="majorBidi" w:cstheme="majorBidi"/>
          <w:sz w:val="20"/>
          <w:szCs w:val="20"/>
        </w:rPr>
        <w:t>as</w:t>
      </w:r>
      <w:r w:rsidR="00A21CEE" w:rsidRPr="003B0A6C">
        <w:rPr>
          <w:rFonts w:asciiTheme="majorBidi" w:hAnsiTheme="majorBidi" w:cstheme="majorBidi"/>
          <w:sz w:val="20"/>
          <w:szCs w:val="20"/>
        </w:rPr>
        <w:t xml:space="preserve"> the most important proteins</w:t>
      </w:r>
      <w:r w:rsidR="006678CF" w:rsidRPr="003B0A6C">
        <w:rPr>
          <w:rFonts w:asciiTheme="majorBidi" w:hAnsiTheme="majorBidi" w:cstheme="majorBidi"/>
          <w:sz w:val="20"/>
          <w:szCs w:val="20"/>
        </w:rPr>
        <w:t>,</w:t>
      </w:r>
      <w:r w:rsidR="00CA17B5" w:rsidRPr="003B0A6C">
        <w:rPr>
          <w:rFonts w:asciiTheme="majorBidi" w:hAnsiTheme="majorBidi" w:cstheme="majorBidi"/>
          <w:sz w:val="20"/>
          <w:szCs w:val="20"/>
        </w:rPr>
        <w:t xml:space="preserve"> </w:t>
      </w:r>
      <w:r w:rsidR="006678CF" w:rsidRPr="003B0A6C">
        <w:rPr>
          <w:rFonts w:asciiTheme="majorBidi" w:hAnsiTheme="majorBidi" w:cstheme="majorBidi"/>
          <w:sz w:val="20"/>
          <w:szCs w:val="20"/>
        </w:rPr>
        <w:t xml:space="preserve">and all </w:t>
      </w:r>
      <w:r w:rsidR="00422273" w:rsidRPr="003B0A6C">
        <w:rPr>
          <w:rFonts w:asciiTheme="majorBidi" w:hAnsiTheme="majorBidi" w:cstheme="majorBidi"/>
          <w:sz w:val="20"/>
          <w:szCs w:val="20"/>
        </w:rPr>
        <w:t xml:space="preserve">of </w:t>
      </w:r>
      <w:r w:rsidR="006678CF" w:rsidRPr="003B0A6C">
        <w:rPr>
          <w:rFonts w:asciiTheme="majorBidi" w:hAnsiTheme="majorBidi" w:cstheme="majorBidi"/>
          <w:sz w:val="20"/>
          <w:szCs w:val="20"/>
        </w:rPr>
        <w:t xml:space="preserve">these proteins were </w:t>
      </w:r>
      <w:r w:rsidR="00D5217C" w:rsidRPr="003B0A6C">
        <w:rPr>
          <w:rFonts w:asciiTheme="majorBidi" w:hAnsiTheme="majorBidi" w:cstheme="majorBidi"/>
          <w:sz w:val="20"/>
          <w:szCs w:val="20"/>
        </w:rPr>
        <w:t xml:space="preserve">identified as upregulated proteins </w:t>
      </w:r>
      <w:r w:rsidR="006678CF" w:rsidRPr="003B0A6C">
        <w:rPr>
          <w:rFonts w:asciiTheme="majorBidi" w:hAnsiTheme="majorBidi" w:cstheme="majorBidi"/>
          <w:sz w:val="20"/>
          <w:szCs w:val="20"/>
        </w:rPr>
        <w:t>in cancer patients</w:t>
      </w:r>
      <w:r w:rsidR="00CC3622" w:rsidRPr="003B0A6C">
        <w:rPr>
          <w:rFonts w:asciiTheme="majorBidi" w:hAnsiTheme="majorBidi" w:cstheme="majorBidi"/>
          <w:sz w:val="20"/>
          <w:szCs w:val="20"/>
        </w:rPr>
        <w:t>. Biologically</w:t>
      </w:r>
      <w:r w:rsidR="009503D9" w:rsidRPr="003B0A6C">
        <w:rPr>
          <w:rFonts w:asciiTheme="majorBidi" w:hAnsiTheme="majorBidi" w:cstheme="majorBidi"/>
          <w:sz w:val="20"/>
          <w:szCs w:val="20"/>
        </w:rPr>
        <w:t>,</w:t>
      </w:r>
      <w:r w:rsidR="00A6574D" w:rsidRPr="003B0A6C">
        <w:rPr>
          <w:rFonts w:asciiTheme="majorBidi" w:hAnsiTheme="majorBidi" w:cstheme="majorBidi"/>
          <w:sz w:val="20"/>
          <w:szCs w:val="20"/>
        </w:rPr>
        <w:t xml:space="preserve"> their role </w:t>
      </w:r>
      <w:r w:rsidR="008F4609" w:rsidRPr="003B0A6C">
        <w:rPr>
          <w:rFonts w:asciiTheme="majorBidi" w:hAnsiTheme="majorBidi" w:cstheme="majorBidi"/>
          <w:sz w:val="20"/>
          <w:szCs w:val="20"/>
        </w:rPr>
        <w:t>such as proliferation, DNA repair, and cell adhesion</w:t>
      </w:r>
      <w:r w:rsidR="00D52C90" w:rsidRPr="003B0A6C">
        <w:rPr>
          <w:rFonts w:asciiTheme="majorBidi" w:hAnsiTheme="majorBidi" w:cstheme="majorBidi"/>
          <w:sz w:val="20"/>
          <w:szCs w:val="20"/>
        </w:rPr>
        <w:t>,</w:t>
      </w:r>
      <w:r w:rsidR="00A6574D" w:rsidRPr="003B0A6C">
        <w:rPr>
          <w:rFonts w:asciiTheme="majorBidi" w:hAnsiTheme="majorBidi" w:cstheme="majorBidi"/>
          <w:sz w:val="20"/>
          <w:szCs w:val="20"/>
        </w:rPr>
        <w:t xml:space="preserve"> </w:t>
      </w:r>
      <w:r w:rsidR="00433E02" w:rsidRPr="003B0A6C">
        <w:rPr>
          <w:rFonts w:asciiTheme="majorBidi" w:hAnsiTheme="majorBidi" w:cstheme="majorBidi"/>
          <w:sz w:val="20"/>
          <w:szCs w:val="20"/>
        </w:rPr>
        <w:t>are</w:t>
      </w:r>
      <w:r w:rsidR="001D3263" w:rsidRPr="003B0A6C">
        <w:rPr>
          <w:rFonts w:asciiTheme="majorBidi" w:hAnsiTheme="majorBidi" w:cstheme="majorBidi"/>
          <w:sz w:val="20"/>
          <w:szCs w:val="20"/>
        </w:rPr>
        <w:t xml:space="preserve"> established</w:t>
      </w:r>
      <w:r w:rsidR="008F4609" w:rsidRPr="003B0A6C">
        <w:rPr>
          <w:rFonts w:asciiTheme="majorBidi" w:hAnsiTheme="majorBidi" w:cstheme="majorBidi"/>
          <w:sz w:val="20"/>
          <w:szCs w:val="20"/>
        </w:rPr>
        <w:t>. AGR2, KRT-19, CEACAM5 (CEA), RRM2, PARP1, PSIP1</w:t>
      </w:r>
      <w:r w:rsidR="00762527" w:rsidRPr="003B0A6C">
        <w:rPr>
          <w:rFonts w:asciiTheme="majorBidi" w:hAnsiTheme="majorBidi" w:cstheme="majorBidi"/>
          <w:sz w:val="20"/>
          <w:szCs w:val="20"/>
        </w:rPr>
        <w:t>.</w:t>
      </w:r>
      <w:r w:rsidR="00F670B5" w:rsidRPr="003B0A6C">
        <w:rPr>
          <w:rFonts w:asciiTheme="majorBidi" w:hAnsiTheme="majorBidi" w:cstheme="majorBidi"/>
          <w:sz w:val="20"/>
          <w:szCs w:val="20"/>
        </w:rPr>
        <w:t xml:space="preserve"> </w:t>
      </w:r>
    </w:p>
    <w:p w14:paraId="6EA403C7" w14:textId="34BFB787" w:rsidR="00AD3F96" w:rsidRPr="004C5B88" w:rsidRDefault="00490E5C" w:rsidP="003B0A6C">
      <w:pPr>
        <w:pStyle w:val="Heading1"/>
        <w:spacing w:line="276" w:lineRule="auto"/>
        <w:rPr>
          <w:rFonts w:asciiTheme="majorBidi" w:hAnsiTheme="majorBidi"/>
          <w:b/>
          <w:bCs/>
          <w:color w:val="auto"/>
          <w:sz w:val="20"/>
          <w:szCs w:val="20"/>
        </w:rPr>
      </w:pPr>
      <w:r w:rsidRPr="004C5B88">
        <w:rPr>
          <w:rFonts w:asciiTheme="majorBidi" w:hAnsiTheme="majorBidi"/>
          <w:b/>
          <w:bCs/>
          <w:color w:val="auto"/>
          <w:sz w:val="20"/>
          <w:szCs w:val="20"/>
        </w:rPr>
        <w:t xml:space="preserve">Strengths and </w:t>
      </w:r>
      <w:r w:rsidR="00874557" w:rsidRPr="004C5B88">
        <w:rPr>
          <w:rFonts w:asciiTheme="majorBidi" w:hAnsiTheme="majorBidi"/>
          <w:b/>
          <w:bCs/>
          <w:color w:val="auto"/>
          <w:sz w:val="20"/>
          <w:szCs w:val="20"/>
        </w:rPr>
        <w:t>Limitations</w:t>
      </w:r>
      <w:r w:rsidR="00AD3F96" w:rsidRPr="004C5B88">
        <w:rPr>
          <w:rFonts w:asciiTheme="majorBidi" w:hAnsiTheme="majorBidi"/>
          <w:b/>
          <w:bCs/>
          <w:color w:val="auto"/>
          <w:sz w:val="20"/>
          <w:szCs w:val="20"/>
        </w:rPr>
        <w:t xml:space="preserve"> of the </w:t>
      </w:r>
      <w:r w:rsidR="004B5650" w:rsidRPr="004C5B88">
        <w:rPr>
          <w:rFonts w:asciiTheme="majorBidi" w:hAnsiTheme="majorBidi"/>
          <w:b/>
          <w:bCs/>
          <w:color w:val="auto"/>
          <w:sz w:val="20"/>
          <w:szCs w:val="20"/>
        </w:rPr>
        <w:t>Study</w:t>
      </w:r>
      <w:r w:rsidR="00AD3F96" w:rsidRPr="004C5B88">
        <w:rPr>
          <w:rFonts w:asciiTheme="majorBidi" w:hAnsiTheme="majorBidi"/>
          <w:b/>
          <w:bCs/>
          <w:color w:val="auto"/>
          <w:sz w:val="20"/>
          <w:szCs w:val="20"/>
        </w:rPr>
        <w:t xml:space="preserve"> </w:t>
      </w:r>
    </w:p>
    <w:p w14:paraId="0D0F28FD" w14:textId="35D08B3A" w:rsidR="0097339C" w:rsidRPr="003B0A6C" w:rsidRDefault="00490E5C" w:rsidP="003B0A6C">
      <w:pPr>
        <w:spacing w:line="276" w:lineRule="auto"/>
        <w:jc w:val="both"/>
        <w:rPr>
          <w:rFonts w:asciiTheme="majorBidi" w:hAnsiTheme="majorBidi" w:cstheme="majorBidi"/>
          <w:color w:val="000000" w:themeColor="text1"/>
          <w:sz w:val="20"/>
          <w:szCs w:val="20"/>
        </w:rPr>
      </w:pPr>
      <w:r w:rsidRPr="003B0A6C">
        <w:rPr>
          <w:rFonts w:asciiTheme="majorBidi" w:hAnsiTheme="majorBidi" w:cstheme="majorBidi"/>
          <w:sz w:val="20"/>
          <w:szCs w:val="20"/>
        </w:rPr>
        <w:t xml:space="preserve">This study had two </w:t>
      </w:r>
      <w:r w:rsidR="005A4CE5" w:rsidRPr="003B0A6C">
        <w:rPr>
          <w:rFonts w:asciiTheme="majorBidi" w:hAnsiTheme="majorBidi" w:cstheme="majorBidi"/>
          <w:sz w:val="20"/>
          <w:szCs w:val="20"/>
        </w:rPr>
        <w:t>primary</w:t>
      </w:r>
      <w:r w:rsidRPr="003B0A6C">
        <w:rPr>
          <w:rFonts w:asciiTheme="majorBidi" w:hAnsiTheme="majorBidi" w:cstheme="majorBidi"/>
          <w:sz w:val="20"/>
          <w:szCs w:val="20"/>
        </w:rPr>
        <w:t xml:space="preserve"> strengths; firstly, the control group was not </w:t>
      </w:r>
      <w:r w:rsidR="004B5650" w:rsidRPr="003B0A6C">
        <w:rPr>
          <w:rFonts w:asciiTheme="majorBidi" w:hAnsiTheme="majorBidi" w:cstheme="majorBidi"/>
          <w:sz w:val="20"/>
          <w:szCs w:val="20"/>
        </w:rPr>
        <w:t>healthy</w:t>
      </w:r>
      <w:r w:rsidRPr="003B0A6C">
        <w:rPr>
          <w:rFonts w:asciiTheme="majorBidi" w:hAnsiTheme="majorBidi" w:cstheme="majorBidi"/>
          <w:sz w:val="20"/>
          <w:szCs w:val="20"/>
        </w:rPr>
        <w:t xml:space="preserve">; </w:t>
      </w:r>
      <w:r w:rsidR="00061BFB" w:rsidRPr="003B0A6C">
        <w:rPr>
          <w:rFonts w:asciiTheme="majorBidi" w:hAnsiTheme="majorBidi" w:cstheme="majorBidi"/>
          <w:sz w:val="20"/>
          <w:szCs w:val="20"/>
        </w:rPr>
        <w:t>instead,</w:t>
      </w:r>
      <w:r w:rsidRPr="003B0A6C">
        <w:rPr>
          <w:rFonts w:asciiTheme="majorBidi" w:hAnsiTheme="majorBidi" w:cstheme="majorBidi"/>
          <w:sz w:val="20"/>
          <w:szCs w:val="20"/>
        </w:rPr>
        <w:t xml:space="preserve"> the study included patients with non-malignant conditions, such as infection,</w:t>
      </w:r>
      <w:r w:rsidR="00DF6407" w:rsidRPr="003B0A6C">
        <w:rPr>
          <w:rFonts w:asciiTheme="majorBidi" w:hAnsiTheme="majorBidi" w:cstheme="majorBidi"/>
          <w:sz w:val="20"/>
          <w:szCs w:val="20"/>
        </w:rPr>
        <w:t xml:space="preserve"> </w:t>
      </w:r>
      <w:r w:rsidRPr="003B0A6C">
        <w:rPr>
          <w:rFonts w:asciiTheme="majorBidi" w:hAnsiTheme="majorBidi" w:cstheme="majorBidi"/>
          <w:sz w:val="20"/>
          <w:szCs w:val="20"/>
        </w:rPr>
        <w:t>inflammation, autoimmune disease, or non-cancerous conditions</w:t>
      </w:r>
      <w:r w:rsidR="00DF6407" w:rsidRPr="003B0A6C">
        <w:rPr>
          <w:rFonts w:asciiTheme="majorBidi" w:hAnsiTheme="majorBidi" w:cstheme="majorBidi"/>
          <w:sz w:val="20"/>
          <w:szCs w:val="20"/>
        </w:rPr>
        <w:t xml:space="preserve">, which more efficiently represent </w:t>
      </w:r>
      <w:r w:rsidR="008C6EB7" w:rsidRPr="003B0A6C">
        <w:rPr>
          <w:rFonts w:asciiTheme="majorBidi" w:hAnsiTheme="majorBidi" w:cstheme="majorBidi"/>
          <w:sz w:val="20"/>
          <w:szCs w:val="20"/>
        </w:rPr>
        <w:t xml:space="preserve">a </w:t>
      </w:r>
      <w:r w:rsidR="00DF6407" w:rsidRPr="003B0A6C">
        <w:rPr>
          <w:rFonts w:asciiTheme="majorBidi" w:hAnsiTheme="majorBidi" w:cstheme="majorBidi"/>
          <w:sz w:val="20"/>
          <w:szCs w:val="20"/>
        </w:rPr>
        <w:t>real-world clinical setting</w:t>
      </w:r>
      <w:r w:rsidRPr="003B0A6C">
        <w:rPr>
          <w:rFonts w:asciiTheme="majorBidi" w:hAnsiTheme="majorBidi" w:cstheme="majorBidi"/>
          <w:sz w:val="20"/>
          <w:szCs w:val="20"/>
        </w:rPr>
        <w:t>.</w:t>
      </w:r>
      <w:r w:rsidR="005A4CE5" w:rsidRPr="003B0A6C">
        <w:rPr>
          <w:rFonts w:asciiTheme="majorBidi" w:hAnsiTheme="majorBidi" w:cstheme="majorBidi"/>
          <w:sz w:val="20"/>
          <w:szCs w:val="20"/>
          <w:rtl/>
        </w:rPr>
        <w:t xml:space="preserve"> </w:t>
      </w:r>
      <w:r w:rsidRPr="003B0A6C">
        <w:rPr>
          <w:rFonts w:asciiTheme="majorBidi" w:hAnsiTheme="majorBidi" w:cstheme="majorBidi"/>
          <w:sz w:val="20"/>
          <w:szCs w:val="20"/>
        </w:rPr>
        <w:t>Secondly, samples were collected before the cancer diagnostic work-up.</w:t>
      </w:r>
      <w:r w:rsidR="00910D69" w:rsidRPr="003B0A6C">
        <w:rPr>
          <w:rFonts w:asciiTheme="majorBidi" w:hAnsiTheme="majorBidi" w:cstheme="majorBidi"/>
          <w:color w:val="000000" w:themeColor="text1"/>
          <w:sz w:val="20"/>
          <w:szCs w:val="20"/>
        </w:rPr>
        <w:t xml:space="preserve"> </w:t>
      </w:r>
      <w:r w:rsidR="00AD3F96" w:rsidRPr="003B0A6C">
        <w:rPr>
          <w:rFonts w:asciiTheme="majorBidi" w:hAnsiTheme="majorBidi" w:cstheme="majorBidi"/>
          <w:sz w:val="20"/>
          <w:szCs w:val="20"/>
        </w:rPr>
        <w:t xml:space="preserve">Despite </w:t>
      </w:r>
      <w:r w:rsidR="00DF6407" w:rsidRPr="003B0A6C">
        <w:rPr>
          <w:rFonts w:asciiTheme="majorBidi" w:hAnsiTheme="majorBidi" w:cstheme="majorBidi"/>
          <w:sz w:val="20"/>
          <w:szCs w:val="20"/>
        </w:rPr>
        <w:t xml:space="preserve">these </w:t>
      </w:r>
      <w:r w:rsidR="00AD3F96" w:rsidRPr="003B0A6C">
        <w:rPr>
          <w:rFonts w:asciiTheme="majorBidi" w:hAnsiTheme="majorBidi" w:cstheme="majorBidi"/>
          <w:sz w:val="20"/>
          <w:szCs w:val="20"/>
        </w:rPr>
        <w:t xml:space="preserve">advantages, there are several limitations in this study. </w:t>
      </w:r>
      <w:r w:rsidR="001B1E3F" w:rsidRPr="003B0A6C">
        <w:rPr>
          <w:rFonts w:asciiTheme="majorBidi" w:hAnsiTheme="majorBidi" w:cstheme="majorBidi"/>
          <w:sz w:val="20"/>
          <w:szCs w:val="20"/>
        </w:rPr>
        <w:t xml:space="preserve">There are many </w:t>
      </w:r>
      <w:r w:rsidR="00C344AD" w:rsidRPr="003B0A6C">
        <w:rPr>
          <w:rFonts w:asciiTheme="majorBidi" w:hAnsiTheme="majorBidi" w:cstheme="majorBidi"/>
          <w:sz w:val="20"/>
          <w:szCs w:val="20"/>
        </w:rPr>
        <w:t>cases</w:t>
      </w:r>
      <w:r w:rsidR="001B1E3F" w:rsidRPr="003B0A6C">
        <w:rPr>
          <w:rFonts w:asciiTheme="majorBidi" w:hAnsiTheme="majorBidi" w:cstheme="majorBidi"/>
          <w:sz w:val="20"/>
          <w:szCs w:val="20"/>
        </w:rPr>
        <w:t xml:space="preserve"> in the study </w:t>
      </w:r>
      <w:r w:rsidR="009F1E71" w:rsidRPr="003B0A6C">
        <w:rPr>
          <w:rFonts w:asciiTheme="majorBidi" w:hAnsiTheme="majorBidi" w:cstheme="majorBidi"/>
          <w:sz w:val="20"/>
          <w:szCs w:val="20"/>
        </w:rPr>
        <w:t>with</w:t>
      </w:r>
      <w:r w:rsidR="001B1E3F" w:rsidRPr="003B0A6C">
        <w:rPr>
          <w:rFonts w:asciiTheme="majorBidi" w:hAnsiTheme="majorBidi" w:cstheme="majorBidi"/>
          <w:sz w:val="20"/>
          <w:szCs w:val="20"/>
        </w:rPr>
        <w:t xml:space="preserve"> </w:t>
      </w:r>
      <w:r w:rsidR="00AD3F96" w:rsidRPr="003B0A6C">
        <w:rPr>
          <w:rFonts w:asciiTheme="majorBidi" w:hAnsiTheme="majorBidi" w:cstheme="majorBidi"/>
          <w:sz w:val="20"/>
          <w:szCs w:val="20"/>
        </w:rPr>
        <w:t>later diagnosed metastatic</w:t>
      </w:r>
      <w:r w:rsidR="00C344AD" w:rsidRPr="003B0A6C">
        <w:rPr>
          <w:rFonts w:asciiTheme="majorBidi" w:hAnsiTheme="majorBidi" w:cstheme="majorBidi"/>
          <w:sz w:val="20"/>
          <w:szCs w:val="20"/>
        </w:rPr>
        <w:t xml:space="preserve"> which hinder </w:t>
      </w:r>
      <w:r w:rsidR="00AD3F96" w:rsidRPr="003B0A6C">
        <w:rPr>
          <w:rFonts w:asciiTheme="majorBidi" w:hAnsiTheme="majorBidi" w:cstheme="majorBidi"/>
          <w:sz w:val="20"/>
          <w:szCs w:val="20"/>
        </w:rPr>
        <w:t>generalizability in cohorts.</w:t>
      </w:r>
      <w:r w:rsidR="00006902" w:rsidRPr="003B0A6C">
        <w:rPr>
          <w:rFonts w:asciiTheme="majorBidi" w:hAnsiTheme="majorBidi" w:cstheme="majorBidi"/>
          <w:sz w:val="20"/>
          <w:szCs w:val="20"/>
        </w:rPr>
        <w:t xml:space="preserve"> Further</w:t>
      </w:r>
      <w:r w:rsidR="001A1B28" w:rsidRPr="003B0A6C">
        <w:rPr>
          <w:rFonts w:asciiTheme="majorBidi" w:hAnsiTheme="majorBidi" w:cstheme="majorBidi"/>
          <w:sz w:val="20"/>
          <w:szCs w:val="20"/>
        </w:rPr>
        <w:t>more</w:t>
      </w:r>
      <w:r w:rsidR="00AD3F96" w:rsidRPr="003B0A6C">
        <w:rPr>
          <w:rFonts w:asciiTheme="majorBidi" w:hAnsiTheme="majorBidi" w:cstheme="majorBidi"/>
          <w:sz w:val="20"/>
          <w:szCs w:val="20"/>
        </w:rPr>
        <w:t xml:space="preserve">, the replication cohort </w:t>
      </w:r>
      <w:r w:rsidR="001A1B28" w:rsidRPr="003B0A6C">
        <w:rPr>
          <w:rFonts w:asciiTheme="majorBidi" w:hAnsiTheme="majorBidi" w:cstheme="majorBidi"/>
          <w:sz w:val="20"/>
          <w:szCs w:val="20"/>
        </w:rPr>
        <w:t>contained a</w:t>
      </w:r>
      <w:r w:rsidR="00AD3F96" w:rsidRPr="003B0A6C">
        <w:rPr>
          <w:rFonts w:asciiTheme="majorBidi" w:hAnsiTheme="majorBidi" w:cstheme="majorBidi"/>
          <w:sz w:val="20"/>
          <w:szCs w:val="20"/>
        </w:rPr>
        <w:t xml:space="preserve"> lower proportion of patients later diagnosed with cancer</w:t>
      </w:r>
      <w:r w:rsidR="00501CE8" w:rsidRPr="003B0A6C">
        <w:rPr>
          <w:rFonts w:asciiTheme="majorBidi" w:hAnsiTheme="majorBidi" w:cstheme="majorBidi"/>
          <w:sz w:val="20"/>
          <w:szCs w:val="20"/>
        </w:rPr>
        <w:t xml:space="preserve">, as </w:t>
      </w:r>
      <w:r w:rsidR="00AD3F96" w:rsidRPr="003B0A6C">
        <w:rPr>
          <w:rFonts w:asciiTheme="majorBidi" w:hAnsiTheme="majorBidi" w:cstheme="majorBidi"/>
          <w:sz w:val="20"/>
          <w:szCs w:val="20"/>
        </w:rPr>
        <w:t xml:space="preserve">it </w:t>
      </w:r>
      <w:r w:rsidR="00910D69" w:rsidRPr="003B0A6C">
        <w:rPr>
          <w:rFonts w:asciiTheme="majorBidi" w:hAnsiTheme="majorBidi" w:cstheme="majorBidi"/>
          <w:sz w:val="20"/>
          <w:szCs w:val="20"/>
        </w:rPr>
        <w:t>excluded</w:t>
      </w:r>
      <w:r w:rsidR="00501CE8" w:rsidRPr="003B0A6C">
        <w:rPr>
          <w:rFonts w:asciiTheme="majorBidi" w:hAnsiTheme="majorBidi" w:cstheme="majorBidi"/>
          <w:sz w:val="20"/>
          <w:szCs w:val="20"/>
        </w:rPr>
        <w:t xml:space="preserve"> </w:t>
      </w:r>
      <w:r w:rsidR="00AD3F96" w:rsidRPr="003B0A6C">
        <w:rPr>
          <w:rFonts w:asciiTheme="majorBidi" w:hAnsiTheme="majorBidi" w:cstheme="majorBidi"/>
          <w:sz w:val="20"/>
          <w:szCs w:val="20"/>
        </w:rPr>
        <w:t xml:space="preserve">patients with radiological findings of metastases without an identifiable primary tumor. However, the model’s ability to perform with equal performance in the replication cohort despite this difference is </w:t>
      </w:r>
      <w:r w:rsidR="00501CE8" w:rsidRPr="003B0A6C">
        <w:rPr>
          <w:rFonts w:asciiTheme="majorBidi" w:hAnsiTheme="majorBidi" w:cstheme="majorBidi"/>
          <w:sz w:val="20"/>
          <w:szCs w:val="20"/>
        </w:rPr>
        <w:t xml:space="preserve">considered </w:t>
      </w:r>
      <w:r w:rsidR="00AD3F96" w:rsidRPr="003B0A6C">
        <w:rPr>
          <w:rFonts w:asciiTheme="majorBidi" w:hAnsiTheme="majorBidi" w:cstheme="majorBidi"/>
          <w:sz w:val="20"/>
          <w:szCs w:val="20"/>
        </w:rPr>
        <w:t xml:space="preserve">a </w:t>
      </w:r>
      <w:r w:rsidR="0003679B" w:rsidRPr="003B0A6C">
        <w:rPr>
          <w:rFonts w:asciiTheme="majorBidi" w:hAnsiTheme="majorBidi" w:cstheme="majorBidi"/>
          <w:sz w:val="20"/>
          <w:szCs w:val="20"/>
        </w:rPr>
        <w:t>significant</w:t>
      </w:r>
      <w:r w:rsidR="00AD3F96" w:rsidRPr="003B0A6C">
        <w:rPr>
          <w:rFonts w:asciiTheme="majorBidi" w:hAnsiTheme="majorBidi" w:cstheme="majorBidi"/>
          <w:sz w:val="20"/>
          <w:szCs w:val="20"/>
        </w:rPr>
        <w:t xml:space="preserve"> advantage. </w:t>
      </w:r>
    </w:p>
    <w:p w14:paraId="5D6F7482" w14:textId="7EDCE4D3" w:rsidR="0003679B" w:rsidRPr="004C5B88" w:rsidRDefault="0003679B" w:rsidP="003B0A6C">
      <w:pPr>
        <w:pStyle w:val="Heading1"/>
        <w:spacing w:line="276" w:lineRule="auto"/>
        <w:rPr>
          <w:rFonts w:asciiTheme="majorBidi" w:hAnsiTheme="majorBidi"/>
          <w:b/>
          <w:bCs/>
          <w:color w:val="auto"/>
          <w:sz w:val="20"/>
          <w:szCs w:val="20"/>
        </w:rPr>
      </w:pPr>
      <w:r w:rsidRPr="004C5B88">
        <w:rPr>
          <w:rFonts w:asciiTheme="majorBidi" w:hAnsiTheme="majorBidi"/>
          <w:b/>
          <w:bCs/>
          <w:color w:val="auto"/>
          <w:sz w:val="20"/>
          <w:szCs w:val="20"/>
        </w:rPr>
        <w:t>Future Research Recommendations</w:t>
      </w:r>
    </w:p>
    <w:p w14:paraId="762DB3B2" w14:textId="0DB22E4F" w:rsidR="00CD7031" w:rsidRPr="003B0A6C" w:rsidRDefault="0003679B" w:rsidP="003B0A6C">
      <w:pPr>
        <w:spacing w:line="276" w:lineRule="auto"/>
        <w:jc w:val="both"/>
        <w:rPr>
          <w:rFonts w:asciiTheme="majorBidi" w:hAnsiTheme="majorBidi" w:cstheme="majorBidi"/>
          <w:sz w:val="20"/>
          <w:szCs w:val="20"/>
        </w:rPr>
      </w:pPr>
      <w:r w:rsidRPr="003B0A6C">
        <w:rPr>
          <w:rFonts w:asciiTheme="majorBidi" w:hAnsiTheme="majorBidi" w:cstheme="majorBidi"/>
          <w:sz w:val="20"/>
          <w:szCs w:val="20"/>
        </w:rPr>
        <w:t>S</w:t>
      </w:r>
      <w:r w:rsidR="00CD7031" w:rsidRPr="003B0A6C">
        <w:rPr>
          <w:rFonts w:asciiTheme="majorBidi" w:hAnsiTheme="majorBidi" w:cstheme="majorBidi"/>
          <w:sz w:val="20"/>
          <w:szCs w:val="20"/>
        </w:rPr>
        <w:t>ome recommendations for future studies</w:t>
      </w:r>
      <w:r w:rsidRPr="003B0A6C">
        <w:rPr>
          <w:rFonts w:asciiTheme="majorBidi" w:hAnsiTheme="majorBidi" w:cstheme="majorBidi"/>
          <w:sz w:val="20"/>
          <w:szCs w:val="20"/>
        </w:rPr>
        <w:t xml:space="preserve"> have been highlighted</w:t>
      </w:r>
      <w:r w:rsidR="00CD7031" w:rsidRPr="003B0A6C">
        <w:rPr>
          <w:rFonts w:asciiTheme="majorBidi" w:hAnsiTheme="majorBidi" w:cstheme="majorBidi"/>
          <w:sz w:val="20"/>
          <w:szCs w:val="20"/>
        </w:rPr>
        <w:t>. Firstly, focusing on populations with lower cancer prevalence is significant in terms of generalizability and clinical utility. Secondly, using absolute protein concentrations for clinical implementation</w:t>
      </w:r>
      <w:r w:rsidR="00FB2920" w:rsidRPr="003B0A6C">
        <w:rPr>
          <w:rFonts w:asciiTheme="majorBidi" w:hAnsiTheme="majorBidi" w:cstheme="majorBidi"/>
          <w:sz w:val="20"/>
          <w:szCs w:val="20"/>
        </w:rPr>
        <w:t xml:space="preserve"> is recommended</w:t>
      </w:r>
      <w:r w:rsidR="00CD7031" w:rsidRPr="003B0A6C">
        <w:rPr>
          <w:rFonts w:asciiTheme="majorBidi" w:hAnsiTheme="majorBidi" w:cstheme="majorBidi"/>
          <w:sz w:val="20"/>
          <w:szCs w:val="20"/>
        </w:rPr>
        <w:t xml:space="preserve">. Finally, validation of the model in a healthy population and direct comparison with other diagnostic blood test-based platforms, including commercial pan-cancer tests such as </w:t>
      </w:r>
      <w:r w:rsidR="00121A94" w:rsidRPr="003B0A6C">
        <w:rPr>
          <w:rFonts w:asciiTheme="majorBidi" w:hAnsiTheme="majorBidi" w:cstheme="majorBidi"/>
          <w:sz w:val="20"/>
          <w:szCs w:val="20"/>
        </w:rPr>
        <w:t xml:space="preserve">GRAIL’s Galleri and </w:t>
      </w:r>
      <w:proofErr w:type="spellStart"/>
      <w:r w:rsidR="00121A94" w:rsidRPr="003B0A6C">
        <w:rPr>
          <w:rFonts w:asciiTheme="majorBidi" w:hAnsiTheme="majorBidi" w:cstheme="majorBidi"/>
          <w:sz w:val="20"/>
          <w:szCs w:val="20"/>
        </w:rPr>
        <w:t>Cancerguard</w:t>
      </w:r>
      <w:proofErr w:type="spellEnd"/>
      <w:r w:rsidR="00CD7031" w:rsidRPr="003B0A6C">
        <w:rPr>
          <w:rFonts w:asciiTheme="majorBidi" w:hAnsiTheme="majorBidi" w:cstheme="majorBidi"/>
          <w:sz w:val="20"/>
          <w:szCs w:val="20"/>
        </w:rPr>
        <w:t>.</w:t>
      </w:r>
      <w:r w:rsidR="007050C8" w:rsidRPr="003B0A6C">
        <w:rPr>
          <w:rFonts w:asciiTheme="majorBidi" w:hAnsiTheme="majorBidi" w:cstheme="majorBidi"/>
          <w:sz w:val="20"/>
          <w:szCs w:val="20"/>
        </w:rPr>
        <w:t xml:space="preserve"> </w:t>
      </w:r>
    </w:p>
    <w:p w14:paraId="66A4F1C6" w14:textId="77777777" w:rsidR="00EB0C51" w:rsidRPr="004C5B88" w:rsidRDefault="00EB0C51" w:rsidP="003B0A6C">
      <w:pPr>
        <w:pStyle w:val="Heading1"/>
        <w:spacing w:line="276" w:lineRule="auto"/>
        <w:rPr>
          <w:rFonts w:asciiTheme="majorBidi" w:hAnsiTheme="majorBidi"/>
          <w:b/>
          <w:bCs/>
          <w:color w:val="auto"/>
          <w:sz w:val="20"/>
          <w:szCs w:val="20"/>
        </w:rPr>
      </w:pPr>
      <w:r w:rsidRPr="004C5B88">
        <w:rPr>
          <w:rFonts w:asciiTheme="majorBidi" w:hAnsiTheme="majorBidi"/>
          <w:b/>
          <w:bCs/>
          <w:color w:val="auto"/>
          <w:sz w:val="20"/>
          <w:szCs w:val="20"/>
        </w:rPr>
        <w:lastRenderedPageBreak/>
        <w:t>Conclusion</w:t>
      </w:r>
    </w:p>
    <w:p w14:paraId="23F089EA" w14:textId="25B8CF31" w:rsidR="004425E6" w:rsidRPr="003B0A6C" w:rsidRDefault="004425E6" w:rsidP="003B0A6C">
      <w:pPr>
        <w:spacing w:line="276" w:lineRule="auto"/>
        <w:jc w:val="both"/>
        <w:rPr>
          <w:rFonts w:asciiTheme="majorBidi" w:hAnsiTheme="majorBidi" w:cstheme="majorBidi"/>
          <w:sz w:val="20"/>
          <w:szCs w:val="20"/>
        </w:rPr>
      </w:pPr>
      <w:r w:rsidRPr="003B0A6C">
        <w:rPr>
          <w:rFonts w:asciiTheme="majorBidi" w:hAnsiTheme="majorBidi" w:cstheme="majorBidi"/>
          <w:color w:val="000000" w:themeColor="text1"/>
          <w:sz w:val="20"/>
          <w:szCs w:val="20"/>
        </w:rPr>
        <w:t xml:space="preserve">This study demonstrated that </w:t>
      </w:r>
      <w:r w:rsidRPr="003B0A6C">
        <w:rPr>
          <w:rFonts w:asciiTheme="majorBidi" w:hAnsiTheme="majorBidi" w:cstheme="majorBidi"/>
          <w:sz w:val="20"/>
          <w:szCs w:val="20"/>
        </w:rPr>
        <w:t>plasma protein profiling</w:t>
      </w:r>
      <w:r w:rsidRPr="003B0A6C">
        <w:rPr>
          <w:rFonts w:asciiTheme="majorBidi" w:hAnsiTheme="majorBidi" w:cstheme="majorBidi"/>
          <w:color w:val="000000" w:themeColor="text1"/>
          <w:sz w:val="20"/>
          <w:szCs w:val="20"/>
        </w:rPr>
        <w:t xml:space="preserve">, applying machine learning, is an effective approach to predict </w:t>
      </w:r>
      <w:r w:rsidRPr="003B0A6C">
        <w:rPr>
          <w:rFonts w:asciiTheme="majorBidi" w:hAnsiTheme="majorBidi" w:cstheme="majorBidi"/>
          <w:sz w:val="20"/>
          <w:szCs w:val="20"/>
        </w:rPr>
        <w:t>cancer in patients with vague symptoms. The model efficiently differentiates protein expression patterns between groups with cancer and non-cancer conditions before clinical diagnosis, with strong performance in both cohorts. Although more clinical validation studies are required, this method is a minimally invasive, strong triage tool that could recognize and prioritize high-risk patients significantly and refer them for rapid and advanced medical investigation.</w:t>
      </w:r>
    </w:p>
    <w:p w14:paraId="44699752" w14:textId="1F042FA1" w:rsidR="001B31BE" w:rsidRPr="004C5B88" w:rsidRDefault="001B31BE" w:rsidP="003B0A6C">
      <w:pPr>
        <w:pStyle w:val="Heading1"/>
        <w:spacing w:line="276" w:lineRule="auto"/>
        <w:rPr>
          <w:rFonts w:asciiTheme="majorBidi" w:hAnsiTheme="majorBidi"/>
          <w:b/>
          <w:bCs/>
          <w:color w:val="auto"/>
          <w:sz w:val="20"/>
          <w:szCs w:val="20"/>
        </w:rPr>
      </w:pPr>
      <w:r w:rsidRPr="004C5B88">
        <w:rPr>
          <w:rFonts w:asciiTheme="majorBidi" w:hAnsiTheme="majorBidi"/>
          <w:b/>
          <w:bCs/>
          <w:color w:val="auto"/>
          <w:sz w:val="20"/>
          <w:szCs w:val="20"/>
        </w:rPr>
        <w:t>References</w:t>
      </w:r>
    </w:p>
    <w:p w14:paraId="46BBEA3C" w14:textId="68077519" w:rsidR="00E67B3B" w:rsidRPr="003B0A6C" w:rsidRDefault="000A0A72" w:rsidP="003B0A6C">
      <w:pPr>
        <w:pStyle w:val="Bibliography"/>
        <w:spacing w:line="276" w:lineRule="auto"/>
        <w:rPr>
          <w:sz w:val="20"/>
          <w:szCs w:val="20"/>
        </w:rPr>
      </w:pPr>
      <w:r w:rsidRPr="003B0A6C">
        <w:rPr>
          <w:rFonts w:asciiTheme="majorBidi" w:hAnsiTheme="majorBidi" w:cstheme="majorBidi"/>
          <w:sz w:val="20"/>
          <w:szCs w:val="20"/>
          <w:rtl/>
        </w:rPr>
        <w:fldChar w:fldCharType="begin"/>
      </w:r>
      <w:r w:rsidR="00E67B3B" w:rsidRPr="003B0A6C">
        <w:rPr>
          <w:rFonts w:asciiTheme="majorBidi" w:hAnsiTheme="majorBidi" w:cstheme="majorBidi"/>
          <w:sz w:val="20"/>
          <w:szCs w:val="20"/>
          <w:rtl/>
        </w:rPr>
        <w:instrText xml:space="preserve"> </w:instrText>
      </w:r>
      <w:r w:rsidR="00E67B3B" w:rsidRPr="003B0A6C">
        <w:rPr>
          <w:rFonts w:asciiTheme="majorBidi" w:hAnsiTheme="majorBidi" w:cstheme="majorBidi"/>
          <w:sz w:val="20"/>
          <w:szCs w:val="20"/>
        </w:rPr>
        <w:instrText>ADDIN ZOTERO_BIBL {"uncited":[],"omitted":[],"custom</w:instrText>
      </w:r>
      <w:r w:rsidR="00E67B3B" w:rsidRPr="003B0A6C">
        <w:rPr>
          <w:rFonts w:asciiTheme="majorBidi" w:hAnsiTheme="majorBidi" w:cstheme="majorBidi"/>
          <w:sz w:val="20"/>
          <w:szCs w:val="20"/>
          <w:rtl/>
        </w:rPr>
        <w:instrText>":[]</w:instrText>
      </w:r>
      <w:r w:rsidR="00E67B3B" w:rsidRPr="003B0A6C">
        <w:rPr>
          <w:rFonts w:asciiTheme="majorBidi" w:hAnsiTheme="majorBidi" w:cstheme="majorBidi"/>
          <w:sz w:val="20"/>
          <w:szCs w:val="20"/>
        </w:rPr>
        <w:instrText>} CSL_BIBLIOGRAPHY</w:instrText>
      </w:r>
      <w:r w:rsidR="00E67B3B" w:rsidRPr="003B0A6C">
        <w:rPr>
          <w:rFonts w:asciiTheme="majorBidi" w:hAnsiTheme="majorBidi" w:cstheme="majorBidi"/>
          <w:sz w:val="20"/>
          <w:szCs w:val="20"/>
          <w:rtl/>
        </w:rPr>
        <w:instrText xml:space="preserve"> </w:instrText>
      </w:r>
      <w:r w:rsidRPr="003B0A6C">
        <w:rPr>
          <w:rFonts w:asciiTheme="majorBidi" w:hAnsiTheme="majorBidi" w:cstheme="majorBidi"/>
          <w:sz w:val="20"/>
          <w:szCs w:val="20"/>
          <w:rtl/>
        </w:rPr>
        <w:fldChar w:fldCharType="separate"/>
      </w:r>
      <w:r w:rsidR="00E67B3B" w:rsidRPr="003B0A6C">
        <w:rPr>
          <w:sz w:val="20"/>
          <w:szCs w:val="20"/>
        </w:rPr>
        <w:t>1.</w:t>
      </w:r>
      <w:r w:rsidR="00E67B3B" w:rsidRPr="003B0A6C">
        <w:rPr>
          <w:sz w:val="20"/>
          <w:szCs w:val="20"/>
        </w:rPr>
        <w:tab/>
        <w:t xml:space="preserve">Videmark AN, Christensen IJ, Feltoft CL, Villadsen M, Borg FH, Jørgensen BM, et al. Combined plasma C‐reactive protein, interleukin 6 and </w:t>
      </w:r>
      <w:r w:rsidR="00E67B3B" w:rsidRPr="003B0A6C">
        <w:rPr>
          <w:smallCaps/>
          <w:sz w:val="20"/>
          <w:szCs w:val="20"/>
        </w:rPr>
        <w:t>YKL</w:t>
      </w:r>
      <w:r w:rsidR="00E67B3B" w:rsidRPr="003B0A6C">
        <w:rPr>
          <w:sz w:val="20"/>
          <w:szCs w:val="20"/>
        </w:rPr>
        <w:t xml:space="preserve"> ‐40 for </w:t>
      </w:r>
      <w:r w:rsidR="00105773" w:rsidRPr="003B0A6C">
        <w:rPr>
          <w:sz w:val="20"/>
          <w:szCs w:val="20"/>
        </w:rPr>
        <w:t xml:space="preserve">the </w:t>
      </w:r>
      <w:r w:rsidR="00E67B3B" w:rsidRPr="003B0A6C">
        <w:rPr>
          <w:sz w:val="20"/>
          <w:szCs w:val="20"/>
        </w:rPr>
        <w:t>detection of cancer and prognosis in patients with serious nonspecific symptoms and signs of cancer. Cancer Med [Internet]. 2023 Mar [cited 2026 Feb 12];12(6):6675–88. Available from: https://onlinelibrary.wiley.com/doi/10.1002/cam4.5455</w:t>
      </w:r>
    </w:p>
    <w:p w14:paraId="3215D0F2" w14:textId="77777777" w:rsidR="00E67B3B" w:rsidRPr="003B0A6C" w:rsidRDefault="00E67B3B" w:rsidP="003B0A6C">
      <w:pPr>
        <w:pStyle w:val="Bibliography"/>
        <w:spacing w:line="276" w:lineRule="auto"/>
        <w:rPr>
          <w:sz w:val="20"/>
          <w:szCs w:val="20"/>
        </w:rPr>
      </w:pPr>
      <w:r w:rsidRPr="003B0A6C">
        <w:rPr>
          <w:sz w:val="20"/>
          <w:szCs w:val="20"/>
        </w:rPr>
        <w:t>2.</w:t>
      </w:r>
      <w:r w:rsidRPr="003B0A6C">
        <w:rPr>
          <w:sz w:val="20"/>
          <w:szCs w:val="20"/>
        </w:rPr>
        <w:tab/>
        <w:t>Giai Gianetto Q, Michel V, Douché T, Nozeret K, Zaanan A, Colussi O, et al. Plasma Protein Biomarkers to Detect Early Gastric Preneoplasia and Cancer: A Prospective Study. Int J Mol Sci [Internet]. 2025 Oct 17 [cited 2026 Feb 12];26(20):10114. Available from: https://www.mdpi.com/1422-0067/26/20/10114</w:t>
      </w:r>
    </w:p>
    <w:p w14:paraId="09FDA2E4" w14:textId="77777777" w:rsidR="00E67B3B" w:rsidRPr="003B0A6C" w:rsidRDefault="00E67B3B" w:rsidP="003B0A6C">
      <w:pPr>
        <w:pStyle w:val="Bibliography"/>
        <w:spacing w:line="276" w:lineRule="auto"/>
        <w:rPr>
          <w:sz w:val="20"/>
          <w:szCs w:val="20"/>
        </w:rPr>
      </w:pPr>
      <w:r w:rsidRPr="003B0A6C">
        <w:rPr>
          <w:sz w:val="20"/>
          <w:szCs w:val="20"/>
        </w:rPr>
        <w:t>3.</w:t>
      </w:r>
      <w:r w:rsidRPr="003B0A6C">
        <w:rPr>
          <w:sz w:val="20"/>
          <w:szCs w:val="20"/>
        </w:rPr>
        <w:tab/>
        <w:t>Álvez MB, Edfors F, Von Feilitzen K, Zwahlen M, Mardinoglu A, Edqvist PH, et al. Next generation pan-cancer blood proteome profiling using proximity extension assay. Nat Commun [Internet]. 2023 Jul 18 [cited 2026 Feb 12];14(1):4308. Available from: https://www.nature.com/articles/s41467-023-39765-y</w:t>
      </w:r>
    </w:p>
    <w:p w14:paraId="625EC989" w14:textId="77777777" w:rsidR="00E67B3B" w:rsidRPr="003B0A6C" w:rsidRDefault="00E67B3B" w:rsidP="003B0A6C">
      <w:pPr>
        <w:pStyle w:val="Bibliography"/>
        <w:spacing w:line="276" w:lineRule="auto"/>
        <w:rPr>
          <w:sz w:val="20"/>
          <w:szCs w:val="20"/>
        </w:rPr>
      </w:pPr>
      <w:r w:rsidRPr="003B0A6C">
        <w:rPr>
          <w:sz w:val="20"/>
          <w:szCs w:val="20"/>
        </w:rPr>
        <w:t>4.</w:t>
      </w:r>
      <w:r w:rsidRPr="003B0A6C">
        <w:rPr>
          <w:sz w:val="20"/>
          <w:szCs w:val="20"/>
        </w:rPr>
        <w:tab/>
        <w:t>Landegren U, Hammond M. Cancer diagnostics based on plasma protein biomarkers: hard times but great expectations. Mol Oncol [Internet]. 2021 Jun [cited 2026 Feb 13];15(6):1715–26. Available from: https://febs.onlinelibrary.wiley.com/doi/10.1002/1878-0261.12809</w:t>
      </w:r>
    </w:p>
    <w:p w14:paraId="69667C43" w14:textId="77777777" w:rsidR="00E67B3B" w:rsidRPr="003B0A6C" w:rsidRDefault="00E67B3B" w:rsidP="003B0A6C">
      <w:pPr>
        <w:pStyle w:val="Bibliography"/>
        <w:spacing w:line="276" w:lineRule="auto"/>
        <w:rPr>
          <w:sz w:val="20"/>
          <w:szCs w:val="20"/>
        </w:rPr>
      </w:pPr>
      <w:r w:rsidRPr="003B0A6C">
        <w:rPr>
          <w:sz w:val="20"/>
          <w:szCs w:val="20"/>
        </w:rPr>
        <w:t>5.</w:t>
      </w:r>
      <w:r w:rsidRPr="003B0A6C">
        <w:rPr>
          <w:sz w:val="20"/>
          <w:szCs w:val="20"/>
        </w:rPr>
        <w:tab/>
        <w:t>Wannberg F, Álvez MB, Qvick A, Pongracz T, Aguilera K, Adolfsson E, et al. Plasma protein profiling predicts cancer in patients with non-specific symptoms. Nat Commun [Internet]. 2025 Dec 29 [cited 2026 Feb 4];17(1):151. Available from: https://www.nature.com/articles/s41467-025-67688-3</w:t>
      </w:r>
    </w:p>
    <w:p w14:paraId="1BB9FAF9" w14:textId="77777777" w:rsidR="00E67B3B" w:rsidRPr="003B0A6C" w:rsidRDefault="00E67B3B" w:rsidP="003B0A6C">
      <w:pPr>
        <w:pStyle w:val="Bibliography"/>
        <w:spacing w:line="276" w:lineRule="auto"/>
        <w:rPr>
          <w:sz w:val="20"/>
          <w:szCs w:val="20"/>
        </w:rPr>
      </w:pPr>
      <w:r w:rsidRPr="003B0A6C">
        <w:rPr>
          <w:sz w:val="20"/>
          <w:szCs w:val="20"/>
        </w:rPr>
        <w:t>6.</w:t>
      </w:r>
      <w:r w:rsidRPr="003B0A6C">
        <w:rPr>
          <w:sz w:val="20"/>
          <w:szCs w:val="20"/>
        </w:rPr>
        <w:tab/>
        <w:t>Yang L, Cao M, Tian J, Cui P, Ai L, Li X, et al. Identification of Plasma Inflammatory Markers of Adolescent Depression Using the Olink Proteomics Platform. J Inflamm Res [Internet]. 2023 Oct [cited 2026 Feb 15</w:t>
      </w:r>
      <w:proofErr w:type="gramStart"/>
      <w:r w:rsidRPr="003B0A6C">
        <w:rPr>
          <w:sz w:val="20"/>
          <w:szCs w:val="20"/>
        </w:rPr>
        <w:t>];Volume</w:t>
      </w:r>
      <w:proofErr w:type="gramEnd"/>
      <w:r w:rsidRPr="003B0A6C">
        <w:rPr>
          <w:sz w:val="20"/>
          <w:szCs w:val="20"/>
        </w:rPr>
        <w:t xml:space="preserve"> 16:4489–501. Available from: https://www.dovepress.com/identification-of-plasma-inflammatory-markers-of-adolescent-depression-peer-reviewed-fulltext-article-JIR</w:t>
      </w:r>
    </w:p>
    <w:p w14:paraId="48DDD3C2" w14:textId="77777777" w:rsidR="00E67B3B" w:rsidRPr="003B0A6C" w:rsidRDefault="00E67B3B" w:rsidP="003B0A6C">
      <w:pPr>
        <w:pStyle w:val="Bibliography"/>
        <w:spacing w:line="276" w:lineRule="auto"/>
        <w:rPr>
          <w:sz w:val="20"/>
          <w:szCs w:val="20"/>
        </w:rPr>
      </w:pPr>
      <w:r w:rsidRPr="003B0A6C">
        <w:rPr>
          <w:sz w:val="20"/>
          <w:szCs w:val="20"/>
        </w:rPr>
        <w:t>7.</w:t>
      </w:r>
      <w:r w:rsidRPr="003B0A6C">
        <w:rPr>
          <w:sz w:val="20"/>
          <w:szCs w:val="20"/>
        </w:rPr>
        <w:tab/>
        <w:t>Shraim R, Diorio C, Canna SW, Macdonald-Dunlop E, Bassiri H, Martinez Z, et al. A Method for Comparing Proteins Measured in Serum and Plasma by Olink Proximity Extension Assay. Mol Cell Proteomics [Internet]. 2025 Jul [cited 2026 Feb 15];24(7):101000. Available from: https://linkinghub.elsevier.com/retrieve/pii/S1535947625000994</w:t>
      </w:r>
    </w:p>
    <w:p w14:paraId="0111A740" w14:textId="77777777" w:rsidR="00E67B3B" w:rsidRPr="003B0A6C" w:rsidRDefault="00E67B3B" w:rsidP="003B0A6C">
      <w:pPr>
        <w:pStyle w:val="Bibliography"/>
        <w:spacing w:line="276" w:lineRule="auto"/>
        <w:rPr>
          <w:sz w:val="20"/>
          <w:szCs w:val="20"/>
        </w:rPr>
      </w:pPr>
      <w:r w:rsidRPr="003B0A6C">
        <w:rPr>
          <w:sz w:val="20"/>
          <w:szCs w:val="20"/>
        </w:rPr>
        <w:t>8.</w:t>
      </w:r>
      <w:r w:rsidRPr="003B0A6C">
        <w:rPr>
          <w:sz w:val="20"/>
          <w:szCs w:val="20"/>
        </w:rPr>
        <w:tab/>
        <w:t>Carlyle BC, Kitchen RR, Mattingly Z, Celia AM, Trombetta BA, Das S, et al. Technical Performance Evaluation of Olink Proximity Extension Assay for Blood-Based Biomarker Discovery in Longitudinal Studies of Alzheimer’s Disease. Front Neurol [Internet]. 2022 Jun 6 [cited 2026 Feb 15</w:t>
      </w:r>
      <w:proofErr w:type="gramStart"/>
      <w:r w:rsidRPr="003B0A6C">
        <w:rPr>
          <w:sz w:val="20"/>
          <w:szCs w:val="20"/>
        </w:rPr>
        <w:t>];13:889647</w:t>
      </w:r>
      <w:proofErr w:type="gramEnd"/>
      <w:r w:rsidRPr="003B0A6C">
        <w:rPr>
          <w:sz w:val="20"/>
          <w:szCs w:val="20"/>
        </w:rPr>
        <w:t>. Available from: https://www.frontiersin.org/articles/10.3389/fneur.2022.889647/full</w:t>
      </w:r>
    </w:p>
    <w:p w14:paraId="1D49F9B3" w14:textId="77777777" w:rsidR="00E67B3B" w:rsidRPr="003B0A6C" w:rsidRDefault="00E67B3B" w:rsidP="003B0A6C">
      <w:pPr>
        <w:pStyle w:val="Bibliography"/>
        <w:spacing w:line="276" w:lineRule="auto"/>
        <w:rPr>
          <w:sz w:val="20"/>
          <w:szCs w:val="20"/>
        </w:rPr>
      </w:pPr>
      <w:r w:rsidRPr="003B0A6C">
        <w:rPr>
          <w:sz w:val="20"/>
          <w:szCs w:val="20"/>
        </w:rPr>
        <w:t>9.</w:t>
      </w:r>
      <w:r w:rsidRPr="003B0A6C">
        <w:rPr>
          <w:sz w:val="20"/>
          <w:szCs w:val="20"/>
        </w:rPr>
        <w:tab/>
        <w:t>Christensen TD, Maag E, Madsen K, Lindgaard SC, Nielsen DL, Johansen JS. Determination of temporal reproducibility and variability of cancer biomarkers in serum and EDTA plasma samples using a proximity extension assay. Clin Proteomics [Internet]. 2022 Dec [cited 2026 Feb 15];19(1):39. Available from: https://clinicalproteomicsjournal.biomedcentral.com/articles/10.1186/s12014-022-09380-y</w:t>
      </w:r>
    </w:p>
    <w:p w14:paraId="04035461" w14:textId="3BAAC59F" w:rsidR="000A0A72" w:rsidRPr="003B0A6C" w:rsidRDefault="000A0A72" w:rsidP="003B0A6C">
      <w:pPr>
        <w:bidi/>
        <w:spacing w:line="276" w:lineRule="auto"/>
        <w:jc w:val="both"/>
        <w:rPr>
          <w:rFonts w:asciiTheme="majorBidi" w:hAnsiTheme="majorBidi" w:cstheme="majorBidi"/>
          <w:sz w:val="20"/>
          <w:szCs w:val="20"/>
        </w:rPr>
      </w:pPr>
      <w:r w:rsidRPr="003B0A6C">
        <w:rPr>
          <w:rFonts w:asciiTheme="majorBidi" w:hAnsiTheme="majorBidi" w:cstheme="majorBidi"/>
          <w:sz w:val="20"/>
          <w:szCs w:val="20"/>
          <w:rtl/>
        </w:rPr>
        <w:fldChar w:fldCharType="end"/>
      </w:r>
    </w:p>
    <w:sectPr w:rsidR="000A0A72" w:rsidRPr="003B0A6C" w:rsidSect="003B0A6C">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12C16"/>
    <w:multiLevelType w:val="multilevel"/>
    <w:tmpl w:val="FB46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12ED5"/>
    <w:multiLevelType w:val="multilevel"/>
    <w:tmpl w:val="9E3AB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F255A5"/>
    <w:multiLevelType w:val="multilevel"/>
    <w:tmpl w:val="C916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1C6ED6"/>
    <w:multiLevelType w:val="multilevel"/>
    <w:tmpl w:val="B1A0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447712">
    <w:abstractNumId w:val="1"/>
  </w:num>
  <w:num w:numId="2" w16cid:durableId="2124571234">
    <w:abstractNumId w:val="2"/>
  </w:num>
  <w:num w:numId="3" w16cid:durableId="283117918">
    <w:abstractNumId w:val="3"/>
  </w:num>
  <w:num w:numId="4" w16cid:durableId="568273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C6C"/>
    <w:rsid w:val="00001ACD"/>
    <w:rsid w:val="00002226"/>
    <w:rsid w:val="00005A4B"/>
    <w:rsid w:val="00006902"/>
    <w:rsid w:val="0001182C"/>
    <w:rsid w:val="0003679B"/>
    <w:rsid w:val="000450AD"/>
    <w:rsid w:val="00061BFB"/>
    <w:rsid w:val="0006481A"/>
    <w:rsid w:val="000679BF"/>
    <w:rsid w:val="000732A7"/>
    <w:rsid w:val="0007400F"/>
    <w:rsid w:val="0008099F"/>
    <w:rsid w:val="00093BFC"/>
    <w:rsid w:val="000A0A72"/>
    <w:rsid w:val="000C7D36"/>
    <w:rsid w:val="000D3879"/>
    <w:rsid w:val="000D509F"/>
    <w:rsid w:val="000D7C21"/>
    <w:rsid w:val="000E0FD4"/>
    <w:rsid w:val="000F4FEF"/>
    <w:rsid w:val="000F5F24"/>
    <w:rsid w:val="00103A45"/>
    <w:rsid w:val="00105773"/>
    <w:rsid w:val="0010607F"/>
    <w:rsid w:val="001131B3"/>
    <w:rsid w:val="0011404B"/>
    <w:rsid w:val="00121A94"/>
    <w:rsid w:val="00123DD0"/>
    <w:rsid w:val="0012721F"/>
    <w:rsid w:val="001328CF"/>
    <w:rsid w:val="00136739"/>
    <w:rsid w:val="0014010B"/>
    <w:rsid w:val="00147C82"/>
    <w:rsid w:val="00150C7A"/>
    <w:rsid w:val="00160A59"/>
    <w:rsid w:val="00160E59"/>
    <w:rsid w:val="001620C4"/>
    <w:rsid w:val="00166A6C"/>
    <w:rsid w:val="00182B97"/>
    <w:rsid w:val="00183E5B"/>
    <w:rsid w:val="00184FC5"/>
    <w:rsid w:val="00190E60"/>
    <w:rsid w:val="00191DE6"/>
    <w:rsid w:val="001A046C"/>
    <w:rsid w:val="001A1769"/>
    <w:rsid w:val="001A1B28"/>
    <w:rsid w:val="001A5CEF"/>
    <w:rsid w:val="001A609A"/>
    <w:rsid w:val="001B1E3F"/>
    <w:rsid w:val="001B2613"/>
    <w:rsid w:val="001B31BE"/>
    <w:rsid w:val="001B507F"/>
    <w:rsid w:val="001C1041"/>
    <w:rsid w:val="001C2F9A"/>
    <w:rsid w:val="001C429F"/>
    <w:rsid w:val="001C5252"/>
    <w:rsid w:val="001C5ED4"/>
    <w:rsid w:val="001C7E7D"/>
    <w:rsid w:val="001D0E46"/>
    <w:rsid w:val="001D3263"/>
    <w:rsid w:val="001D45EF"/>
    <w:rsid w:val="001D4C6C"/>
    <w:rsid w:val="001E545A"/>
    <w:rsid w:val="001F5FA0"/>
    <w:rsid w:val="00216399"/>
    <w:rsid w:val="0022053A"/>
    <w:rsid w:val="00224104"/>
    <w:rsid w:val="00225C75"/>
    <w:rsid w:val="002267E5"/>
    <w:rsid w:val="00243646"/>
    <w:rsid w:val="0024471E"/>
    <w:rsid w:val="00247635"/>
    <w:rsid w:val="0025044B"/>
    <w:rsid w:val="00260079"/>
    <w:rsid w:val="002623E4"/>
    <w:rsid w:val="002825FF"/>
    <w:rsid w:val="00293F81"/>
    <w:rsid w:val="002A0A53"/>
    <w:rsid w:val="002A2D6B"/>
    <w:rsid w:val="002A40D7"/>
    <w:rsid w:val="002B1C0C"/>
    <w:rsid w:val="002C4E44"/>
    <w:rsid w:val="002C5083"/>
    <w:rsid w:val="002C50E3"/>
    <w:rsid w:val="002D0C74"/>
    <w:rsid w:val="002D3195"/>
    <w:rsid w:val="002D31CC"/>
    <w:rsid w:val="002D4BF4"/>
    <w:rsid w:val="002D619F"/>
    <w:rsid w:val="002D658E"/>
    <w:rsid w:val="002F35A7"/>
    <w:rsid w:val="002F48BB"/>
    <w:rsid w:val="00311206"/>
    <w:rsid w:val="003156DF"/>
    <w:rsid w:val="00320F47"/>
    <w:rsid w:val="00336487"/>
    <w:rsid w:val="00341CCA"/>
    <w:rsid w:val="0034207F"/>
    <w:rsid w:val="00347B95"/>
    <w:rsid w:val="00352DF6"/>
    <w:rsid w:val="0035658A"/>
    <w:rsid w:val="0036040D"/>
    <w:rsid w:val="00360A1F"/>
    <w:rsid w:val="0038044C"/>
    <w:rsid w:val="00381683"/>
    <w:rsid w:val="00384E8D"/>
    <w:rsid w:val="003A27DD"/>
    <w:rsid w:val="003A28DA"/>
    <w:rsid w:val="003B05D4"/>
    <w:rsid w:val="003B0A6C"/>
    <w:rsid w:val="003C3A86"/>
    <w:rsid w:val="003C6D1E"/>
    <w:rsid w:val="003D0638"/>
    <w:rsid w:val="003D249D"/>
    <w:rsid w:val="003D2846"/>
    <w:rsid w:val="003D52F0"/>
    <w:rsid w:val="003D7614"/>
    <w:rsid w:val="003E0339"/>
    <w:rsid w:val="003E3F0D"/>
    <w:rsid w:val="003F46F1"/>
    <w:rsid w:val="00406446"/>
    <w:rsid w:val="004102AF"/>
    <w:rsid w:val="0042042D"/>
    <w:rsid w:val="00422273"/>
    <w:rsid w:val="00431F1D"/>
    <w:rsid w:val="00433E02"/>
    <w:rsid w:val="004368D6"/>
    <w:rsid w:val="00440F01"/>
    <w:rsid w:val="004425E6"/>
    <w:rsid w:val="00456919"/>
    <w:rsid w:val="004733D1"/>
    <w:rsid w:val="004770E7"/>
    <w:rsid w:val="00480342"/>
    <w:rsid w:val="0048376E"/>
    <w:rsid w:val="00483782"/>
    <w:rsid w:val="00490960"/>
    <w:rsid w:val="00490E5C"/>
    <w:rsid w:val="00491F7A"/>
    <w:rsid w:val="004A2E54"/>
    <w:rsid w:val="004A34AB"/>
    <w:rsid w:val="004A6580"/>
    <w:rsid w:val="004A65E1"/>
    <w:rsid w:val="004B5650"/>
    <w:rsid w:val="004B6B5A"/>
    <w:rsid w:val="004C28F9"/>
    <w:rsid w:val="004C2905"/>
    <w:rsid w:val="004C4340"/>
    <w:rsid w:val="004C534D"/>
    <w:rsid w:val="004C5B88"/>
    <w:rsid w:val="004C5DEC"/>
    <w:rsid w:val="004D28C3"/>
    <w:rsid w:val="004E0472"/>
    <w:rsid w:val="004E3376"/>
    <w:rsid w:val="004E3D8F"/>
    <w:rsid w:val="004E730A"/>
    <w:rsid w:val="004F0833"/>
    <w:rsid w:val="004F18BF"/>
    <w:rsid w:val="004F2444"/>
    <w:rsid w:val="004F3FC4"/>
    <w:rsid w:val="004F40CC"/>
    <w:rsid w:val="004F5717"/>
    <w:rsid w:val="00501CE8"/>
    <w:rsid w:val="0050337E"/>
    <w:rsid w:val="005235D8"/>
    <w:rsid w:val="005414AA"/>
    <w:rsid w:val="005430B0"/>
    <w:rsid w:val="00564B67"/>
    <w:rsid w:val="005673CF"/>
    <w:rsid w:val="00567ED2"/>
    <w:rsid w:val="00574DC0"/>
    <w:rsid w:val="00576B1B"/>
    <w:rsid w:val="005919EB"/>
    <w:rsid w:val="0059296E"/>
    <w:rsid w:val="00593AF5"/>
    <w:rsid w:val="005A3D79"/>
    <w:rsid w:val="005A4CE5"/>
    <w:rsid w:val="005B083C"/>
    <w:rsid w:val="005B084F"/>
    <w:rsid w:val="005C3BAA"/>
    <w:rsid w:val="005C3FB7"/>
    <w:rsid w:val="005C41CE"/>
    <w:rsid w:val="005C57EB"/>
    <w:rsid w:val="005D5CBC"/>
    <w:rsid w:val="005D6247"/>
    <w:rsid w:val="005D7577"/>
    <w:rsid w:val="005F068C"/>
    <w:rsid w:val="005F398E"/>
    <w:rsid w:val="005F46C3"/>
    <w:rsid w:val="005F5E39"/>
    <w:rsid w:val="005F60AC"/>
    <w:rsid w:val="005F7938"/>
    <w:rsid w:val="00601304"/>
    <w:rsid w:val="00606FF2"/>
    <w:rsid w:val="00615E12"/>
    <w:rsid w:val="00627240"/>
    <w:rsid w:val="00633A13"/>
    <w:rsid w:val="00637346"/>
    <w:rsid w:val="00645892"/>
    <w:rsid w:val="00646671"/>
    <w:rsid w:val="00653728"/>
    <w:rsid w:val="00666FE8"/>
    <w:rsid w:val="006678CF"/>
    <w:rsid w:val="00676B56"/>
    <w:rsid w:val="00681E77"/>
    <w:rsid w:val="00693694"/>
    <w:rsid w:val="00695400"/>
    <w:rsid w:val="00695C54"/>
    <w:rsid w:val="00696E4C"/>
    <w:rsid w:val="006A1157"/>
    <w:rsid w:val="006C1EF8"/>
    <w:rsid w:val="006D182C"/>
    <w:rsid w:val="006E1E7B"/>
    <w:rsid w:val="006E2064"/>
    <w:rsid w:val="006E31B6"/>
    <w:rsid w:val="006F3454"/>
    <w:rsid w:val="007002E1"/>
    <w:rsid w:val="00702CFD"/>
    <w:rsid w:val="00702F74"/>
    <w:rsid w:val="007050C8"/>
    <w:rsid w:val="00705176"/>
    <w:rsid w:val="00720BA6"/>
    <w:rsid w:val="0072639F"/>
    <w:rsid w:val="00733E6F"/>
    <w:rsid w:val="00744AA3"/>
    <w:rsid w:val="00744DC8"/>
    <w:rsid w:val="007450CA"/>
    <w:rsid w:val="00745AD5"/>
    <w:rsid w:val="00747472"/>
    <w:rsid w:val="00751F97"/>
    <w:rsid w:val="00755C17"/>
    <w:rsid w:val="00762527"/>
    <w:rsid w:val="00763158"/>
    <w:rsid w:val="00765A31"/>
    <w:rsid w:val="00767306"/>
    <w:rsid w:val="00777698"/>
    <w:rsid w:val="0078199D"/>
    <w:rsid w:val="00797494"/>
    <w:rsid w:val="007B290A"/>
    <w:rsid w:val="007B6866"/>
    <w:rsid w:val="007C4475"/>
    <w:rsid w:val="007C6F9A"/>
    <w:rsid w:val="007D05C5"/>
    <w:rsid w:val="007D3E97"/>
    <w:rsid w:val="007D3EB3"/>
    <w:rsid w:val="007D431E"/>
    <w:rsid w:val="007E4AF6"/>
    <w:rsid w:val="007F124C"/>
    <w:rsid w:val="007F31F7"/>
    <w:rsid w:val="0080139D"/>
    <w:rsid w:val="00802C75"/>
    <w:rsid w:val="00805615"/>
    <w:rsid w:val="008058B8"/>
    <w:rsid w:val="00807957"/>
    <w:rsid w:val="008116C8"/>
    <w:rsid w:val="0081270B"/>
    <w:rsid w:val="0081396B"/>
    <w:rsid w:val="00814710"/>
    <w:rsid w:val="008170D2"/>
    <w:rsid w:val="0082385E"/>
    <w:rsid w:val="00823BC2"/>
    <w:rsid w:val="008265BA"/>
    <w:rsid w:val="0084063B"/>
    <w:rsid w:val="00840F60"/>
    <w:rsid w:val="00846479"/>
    <w:rsid w:val="0085343F"/>
    <w:rsid w:val="00854142"/>
    <w:rsid w:val="00857756"/>
    <w:rsid w:val="00874557"/>
    <w:rsid w:val="00884EBE"/>
    <w:rsid w:val="008A4C54"/>
    <w:rsid w:val="008A723B"/>
    <w:rsid w:val="008B55FA"/>
    <w:rsid w:val="008C6EB7"/>
    <w:rsid w:val="008C7AC4"/>
    <w:rsid w:val="008E6F44"/>
    <w:rsid w:val="008F0E40"/>
    <w:rsid w:val="008F4609"/>
    <w:rsid w:val="008F4732"/>
    <w:rsid w:val="008F687B"/>
    <w:rsid w:val="00903CB1"/>
    <w:rsid w:val="00910D69"/>
    <w:rsid w:val="00913568"/>
    <w:rsid w:val="00922683"/>
    <w:rsid w:val="0092618C"/>
    <w:rsid w:val="00931B6D"/>
    <w:rsid w:val="00935B41"/>
    <w:rsid w:val="00940AD6"/>
    <w:rsid w:val="009503D9"/>
    <w:rsid w:val="0095576A"/>
    <w:rsid w:val="009573A5"/>
    <w:rsid w:val="00966449"/>
    <w:rsid w:val="00970845"/>
    <w:rsid w:val="0097339C"/>
    <w:rsid w:val="0097451B"/>
    <w:rsid w:val="0098664B"/>
    <w:rsid w:val="00987156"/>
    <w:rsid w:val="00993ACF"/>
    <w:rsid w:val="009B1537"/>
    <w:rsid w:val="009C06F0"/>
    <w:rsid w:val="009D06B1"/>
    <w:rsid w:val="009D1AF5"/>
    <w:rsid w:val="009D3C05"/>
    <w:rsid w:val="009D638E"/>
    <w:rsid w:val="009E4FF4"/>
    <w:rsid w:val="009F1D72"/>
    <w:rsid w:val="009F1E71"/>
    <w:rsid w:val="009F4233"/>
    <w:rsid w:val="009F5C42"/>
    <w:rsid w:val="00A016BF"/>
    <w:rsid w:val="00A029C0"/>
    <w:rsid w:val="00A1715B"/>
    <w:rsid w:val="00A20BFD"/>
    <w:rsid w:val="00A21CEE"/>
    <w:rsid w:val="00A431FD"/>
    <w:rsid w:val="00A44CBE"/>
    <w:rsid w:val="00A6574D"/>
    <w:rsid w:val="00A66747"/>
    <w:rsid w:val="00A71F0E"/>
    <w:rsid w:val="00A85632"/>
    <w:rsid w:val="00A92340"/>
    <w:rsid w:val="00A956B5"/>
    <w:rsid w:val="00A96A9B"/>
    <w:rsid w:val="00A97D8A"/>
    <w:rsid w:val="00AA73D3"/>
    <w:rsid w:val="00AB5F1F"/>
    <w:rsid w:val="00AD103F"/>
    <w:rsid w:val="00AD325B"/>
    <w:rsid w:val="00AD3F96"/>
    <w:rsid w:val="00AD438B"/>
    <w:rsid w:val="00AD46D2"/>
    <w:rsid w:val="00AF218B"/>
    <w:rsid w:val="00AF6654"/>
    <w:rsid w:val="00B06FE1"/>
    <w:rsid w:val="00B1519E"/>
    <w:rsid w:val="00B1640B"/>
    <w:rsid w:val="00B2050A"/>
    <w:rsid w:val="00B26C3A"/>
    <w:rsid w:val="00B26E2C"/>
    <w:rsid w:val="00B31B06"/>
    <w:rsid w:val="00B36A9A"/>
    <w:rsid w:val="00B40781"/>
    <w:rsid w:val="00B413DD"/>
    <w:rsid w:val="00B4558D"/>
    <w:rsid w:val="00B477A4"/>
    <w:rsid w:val="00B56BD5"/>
    <w:rsid w:val="00B60A09"/>
    <w:rsid w:val="00B71DC6"/>
    <w:rsid w:val="00B72024"/>
    <w:rsid w:val="00B764AE"/>
    <w:rsid w:val="00B778DE"/>
    <w:rsid w:val="00B83FC2"/>
    <w:rsid w:val="00B8478C"/>
    <w:rsid w:val="00B84958"/>
    <w:rsid w:val="00B84B86"/>
    <w:rsid w:val="00B85C00"/>
    <w:rsid w:val="00B862E2"/>
    <w:rsid w:val="00B93AB6"/>
    <w:rsid w:val="00B96645"/>
    <w:rsid w:val="00B977FC"/>
    <w:rsid w:val="00BA0862"/>
    <w:rsid w:val="00BB2173"/>
    <w:rsid w:val="00BB33A2"/>
    <w:rsid w:val="00BB37E7"/>
    <w:rsid w:val="00BC1FE4"/>
    <w:rsid w:val="00BD2C1D"/>
    <w:rsid w:val="00BD42F2"/>
    <w:rsid w:val="00BD4C55"/>
    <w:rsid w:val="00BE1009"/>
    <w:rsid w:val="00BE2337"/>
    <w:rsid w:val="00BE431B"/>
    <w:rsid w:val="00BE63D5"/>
    <w:rsid w:val="00BF5FD1"/>
    <w:rsid w:val="00C01012"/>
    <w:rsid w:val="00C01A3F"/>
    <w:rsid w:val="00C17ABF"/>
    <w:rsid w:val="00C22776"/>
    <w:rsid w:val="00C32DBC"/>
    <w:rsid w:val="00C344AD"/>
    <w:rsid w:val="00C34CA7"/>
    <w:rsid w:val="00C3500A"/>
    <w:rsid w:val="00C35ABF"/>
    <w:rsid w:val="00C37ED7"/>
    <w:rsid w:val="00C40735"/>
    <w:rsid w:val="00C44A01"/>
    <w:rsid w:val="00C46A60"/>
    <w:rsid w:val="00C46FFE"/>
    <w:rsid w:val="00C47853"/>
    <w:rsid w:val="00C60A6F"/>
    <w:rsid w:val="00C706B5"/>
    <w:rsid w:val="00C774FC"/>
    <w:rsid w:val="00C80EEE"/>
    <w:rsid w:val="00C84E08"/>
    <w:rsid w:val="00CA14BC"/>
    <w:rsid w:val="00CA17B5"/>
    <w:rsid w:val="00CA6E02"/>
    <w:rsid w:val="00CB6BB1"/>
    <w:rsid w:val="00CC3622"/>
    <w:rsid w:val="00CC47A6"/>
    <w:rsid w:val="00CD54B9"/>
    <w:rsid w:val="00CD67A6"/>
    <w:rsid w:val="00CD7031"/>
    <w:rsid w:val="00CE2203"/>
    <w:rsid w:val="00CF3F45"/>
    <w:rsid w:val="00D012B0"/>
    <w:rsid w:val="00D04B74"/>
    <w:rsid w:val="00D16C14"/>
    <w:rsid w:val="00D17F9F"/>
    <w:rsid w:val="00D25084"/>
    <w:rsid w:val="00D316D2"/>
    <w:rsid w:val="00D5217C"/>
    <w:rsid w:val="00D52C90"/>
    <w:rsid w:val="00D537DA"/>
    <w:rsid w:val="00D558E4"/>
    <w:rsid w:val="00D676F3"/>
    <w:rsid w:val="00D77BEC"/>
    <w:rsid w:val="00D848D8"/>
    <w:rsid w:val="00DB1D87"/>
    <w:rsid w:val="00DB67FC"/>
    <w:rsid w:val="00DB6B19"/>
    <w:rsid w:val="00DB792F"/>
    <w:rsid w:val="00DC7D7C"/>
    <w:rsid w:val="00DE0786"/>
    <w:rsid w:val="00DE263B"/>
    <w:rsid w:val="00DE59C2"/>
    <w:rsid w:val="00DF098F"/>
    <w:rsid w:val="00DF15AD"/>
    <w:rsid w:val="00DF486C"/>
    <w:rsid w:val="00DF6407"/>
    <w:rsid w:val="00E05AFF"/>
    <w:rsid w:val="00E116CA"/>
    <w:rsid w:val="00E1236A"/>
    <w:rsid w:val="00E17D90"/>
    <w:rsid w:val="00E258EA"/>
    <w:rsid w:val="00E3625F"/>
    <w:rsid w:val="00E36E50"/>
    <w:rsid w:val="00E3747E"/>
    <w:rsid w:val="00E42C70"/>
    <w:rsid w:val="00E470C3"/>
    <w:rsid w:val="00E542A1"/>
    <w:rsid w:val="00E56077"/>
    <w:rsid w:val="00E5656D"/>
    <w:rsid w:val="00E60F33"/>
    <w:rsid w:val="00E6262D"/>
    <w:rsid w:val="00E66678"/>
    <w:rsid w:val="00E67B3B"/>
    <w:rsid w:val="00E67DBB"/>
    <w:rsid w:val="00E70B41"/>
    <w:rsid w:val="00E72CA0"/>
    <w:rsid w:val="00E97014"/>
    <w:rsid w:val="00E972CC"/>
    <w:rsid w:val="00EA004E"/>
    <w:rsid w:val="00EA2835"/>
    <w:rsid w:val="00EB0C51"/>
    <w:rsid w:val="00EB1D9D"/>
    <w:rsid w:val="00ED3466"/>
    <w:rsid w:val="00ED4AAE"/>
    <w:rsid w:val="00EE10C0"/>
    <w:rsid w:val="00EE78C8"/>
    <w:rsid w:val="00F02D37"/>
    <w:rsid w:val="00F05207"/>
    <w:rsid w:val="00F11D2C"/>
    <w:rsid w:val="00F146B9"/>
    <w:rsid w:val="00F16EE9"/>
    <w:rsid w:val="00F17C68"/>
    <w:rsid w:val="00F221D0"/>
    <w:rsid w:val="00F3116F"/>
    <w:rsid w:val="00F31491"/>
    <w:rsid w:val="00F36EFF"/>
    <w:rsid w:val="00F40354"/>
    <w:rsid w:val="00F43329"/>
    <w:rsid w:val="00F63727"/>
    <w:rsid w:val="00F64852"/>
    <w:rsid w:val="00F670B5"/>
    <w:rsid w:val="00F714E7"/>
    <w:rsid w:val="00F7163E"/>
    <w:rsid w:val="00F80E13"/>
    <w:rsid w:val="00F85BB2"/>
    <w:rsid w:val="00F86250"/>
    <w:rsid w:val="00F909A5"/>
    <w:rsid w:val="00F91057"/>
    <w:rsid w:val="00FB2920"/>
    <w:rsid w:val="00FB753F"/>
    <w:rsid w:val="00FC152E"/>
    <w:rsid w:val="00FC6EB7"/>
    <w:rsid w:val="00FD2FAA"/>
    <w:rsid w:val="00FD756C"/>
    <w:rsid w:val="00FE2276"/>
    <w:rsid w:val="00FE707E"/>
    <w:rsid w:val="00FF1EAC"/>
    <w:rsid w:val="00FF20F5"/>
    <w:rsid w:val="00FF2DD5"/>
    <w:rsid w:val="00FF33A8"/>
    <w:rsid w:val="00FF485F"/>
    <w:rsid w:val="00FF6BE3"/>
    <w:rsid w:val="00FF7A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81333"/>
  <w15:chartTrackingRefBased/>
  <w15:docId w15:val="{26EAFB10-B862-4082-AC29-104E5F9A1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E50"/>
  </w:style>
  <w:style w:type="paragraph" w:styleId="Heading1">
    <w:name w:val="heading 1"/>
    <w:basedOn w:val="Normal"/>
    <w:next w:val="Normal"/>
    <w:link w:val="Heading1Char"/>
    <w:uiPriority w:val="9"/>
    <w:qFormat/>
    <w:rsid w:val="00DF15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15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5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5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5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5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15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5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5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5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5AD"/>
    <w:rPr>
      <w:rFonts w:eastAsiaTheme="majorEastAsia" w:cstheme="majorBidi"/>
      <w:color w:val="272727" w:themeColor="text1" w:themeTint="D8"/>
    </w:rPr>
  </w:style>
  <w:style w:type="paragraph" w:styleId="Title">
    <w:name w:val="Title"/>
    <w:basedOn w:val="Normal"/>
    <w:next w:val="Normal"/>
    <w:link w:val="TitleChar"/>
    <w:uiPriority w:val="10"/>
    <w:qFormat/>
    <w:rsid w:val="00DF1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5A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DF15AD"/>
    <w:pPr>
      <w:ind w:left="720"/>
      <w:contextualSpacing/>
    </w:pPr>
  </w:style>
  <w:style w:type="paragraph" w:styleId="Quote">
    <w:name w:val="Quote"/>
    <w:basedOn w:val="Normal"/>
    <w:next w:val="Normal"/>
    <w:link w:val="QuoteChar"/>
    <w:uiPriority w:val="29"/>
    <w:qFormat/>
    <w:rsid w:val="00DF15AD"/>
    <w:pPr>
      <w:spacing w:before="160"/>
      <w:jc w:val="center"/>
    </w:pPr>
    <w:rPr>
      <w:i/>
      <w:iCs/>
      <w:color w:val="404040" w:themeColor="text1" w:themeTint="BF"/>
    </w:rPr>
  </w:style>
  <w:style w:type="character" w:customStyle="1" w:styleId="QuoteChar">
    <w:name w:val="Quote Char"/>
    <w:basedOn w:val="DefaultParagraphFont"/>
    <w:link w:val="Quote"/>
    <w:uiPriority w:val="29"/>
    <w:rsid w:val="00DF15AD"/>
    <w:rPr>
      <w:i/>
      <w:iCs/>
      <w:color w:val="404040" w:themeColor="text1" w:themeTint="BF"/>
    </w:rPr>
  </w:style>
  <w:style w:type="paragraph" w:styleId="IntenseQuote">
    <w:name w:val="Intense Quote"/>
    <w:basedOn w:val="Normal"/>
    <w:next w:val="Normal"/>
    <w:link w:val="IntenseQuoteChar"/>
    <w:uiPriority w:val="30"/>
    <w:qFormat/>
    <w:rsid w:val="00DF15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5AD"/>
    <w:rPr>
      <w:i/>
      <w:iCs/>
      <w:color w:val="2F5496" w:themeColor="accent1" w:themeShade="BF"/>
    </w:rPr>
  </w:style>
  <w:style w:type="character" w:styleId="IntenseEmphasis">
    <w:name w:val="Intense Emphasis"/>
    <w:basedOn w:val="DefaultParagraphFont"/>
    <w:uiPriority w:val="21"/>
    <w:qFormat/>
    <w:rsid w:val="00DF15AD"/>
    <w:rPr>
      <w:i/>
      <w:iCs/>
      <w:color w:val="2F5496" w:themeColor="accent1" w:themeShade="BF"/>
    </w:rPr>
  </w:style>
  <w:style w:type="character" w:styleId="IntenseReference">
    <w:name w:val="Intense Reference"/>
    <w:basedOn w:val="DefaultParagraphFont"/>
    <w:uiPriority w:val="32"/>
    <w:qFormat/>
    <w:rsid w:val="00DF15AD"/>
    <w:rPr>
      <w:b/>
      <w:bCs/>
      <w:smallCaps/>
      <w:color w:val="2F5496" w:themeColor="accent1" w:themeShade="BF"/>
      <w:spacing w:val="5"/>
    </w:rPr>
  </w:style>
  <w:style w:type="character" w:styleId="Hyperlink">
    <w:name w:val="Hyperlink"/>
    <w:basedOn w:val="DefaultParagraphFont"/>
    <w:uiPriority w:val="99"/>
    <w:unhideWhenUsed/>
    <w:rsid w:val="008170D2"/>
    <w:rPr>
      <w:color w:val="0563C1" w:themeColor="hyperlink"/>
      <w:u w:val="single"/>
    </w:rPr>
  </w:style>
  <w:style w:type="paragraph" w:styleId="Bibliography">
    <w:name w:val="Bibliography"/>
    <w:basedOn w:val="Normal"/>
    <w:next w:val="Normal"/>
    <w:uiPriority w:val="37"/>
    <w:unhideWhenUsed/>
    <w:rsid w:val="000A0A72"/>
  </w:style>
  <w:style w:type="character" w:styleId="CommentReference">
    <w:name w:val="annotation reference"/>
    <w:basedOn w:val="DefaultParagraphFont"/>
    <w:uiPriority w:val="99"/>
    <w:semiHidden/>
    <w:unhideWhenUsed/>
    <w:rsid w:val="009F4233"/>
    <w:rPr>
      <w:sz w:val="16"/>
      <w:szCs w:val="16"/>
    </w:rPr>
  </w:style>
  <w:style w:type="paragraph" w:styleId="CommentText">
    <w:name w:val="annotation text"/>
    <w:basedOn w:val="Normal"/>
    <w:link w:val="CommentTextChar"/>
    <w:uiPriority w:val="99"/>
    <w:semiHidden/>
    <w:unhideWhenUsed/>
    <w:rsid w:val="009F4233"/>
    <w:pPr>
      <w:spacing w:line="240" w:lineRule="auto"/>
    </w:pPr>
    <w:rPr>
      <w:sz w:val="20"/>
      <w:szCs w:val="20"/>
    </w:rPr>
  </w:style>
  <w:style w:type="character" w:customStyle="1" w:styleId="CommentTextChar">
    <w:name w:val="Comment Text Char"/>
    <w:basedOn w:val="DefaultParagraphFont"/>
    <w:link w:val="CommentText"/>
    <w:uiPriority w:val="99"/>
    <w:semiHidden/>
    <w:rsid w:val="009F4233"/>
    <w:rPr>
      <w:sz w:val="20"/>
      <w:szCs w:val="20"/>
    </w:rPr>
  </w:style>
  <w:style w:type="paragraph" w:styleId="CommentSubject">
    <w:name w:val="annotation subject"/>
    <w:basedOn w:val="CommentText"/>
    <w:next w:val="CommentText"/>
    <w:link w:val="CommentSubjectChar"/>
    <w:uiPriority w:val="99"/>
    <w:semiHidden/>
    <w:unhideWhenUsed/>
    <w:rsid w:val="009F4233"/>
    <w:rPr>
      <w:b/>
      <w:bCs/>
    </w:rPr>
  </w:style>
  <w:style w:type="character" w:customStyle="1" w:styleId="CommentSubjectChar">
    <w:name w:val="Comment Subject Char"/>
    <w:basedOn w:val="CommentTextChar"/>
    <w:link w:val="CommentSubject"/>
    <w:uiPriority w:val="99"/>
    <w:semiHidden/>
    <w:rsid w:val="009F4233"/>
    <w:rPr>
      <w:b/>
      <w:bCs/>
      <w:sz w:val="20"/>
      <w:szCs w:val="20"/>
    </w:rPr>
  </w:style>
  <w:style w:type="paragraph" w:styleId="NormalWeb">
    <w:name w:val="Normal (Web)"/>
    <w:basedOn w:val="Normal"/>
    <w:uiPriority w:val="99"/>
    <w:semiHidden/>
    <w:unhideWhenUsed/>
    <w:rsid w:val="00702CFD"/>
    <w:rPr>
      <w:rFonts w:ascii="Times New Roman" w:hAnsi="Times New Roman" w:cs="Times New Roman"/>
    </w:rPr>
  </w:style>
  <w:style w:type="character" w:styleId="UnresolvedMention">
    <w:name w:val="Unresolved Mention"/>
    <w:basedOn w:val="DefaultParagraphFont"/>
    <w:uiPriority w:val="99"/>
    <w:semiHidden/>
    <w:unhideWhenUsed/>
    <w:rsid w:val="003B0A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elika.janmohammadifiroz@iau.i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578D1413-F46B-4407-BB1B-073B04731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7531</Words>
  <Characters>42933</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 likA</dc:creator>
  <cp:keywords/>
  <dc:description/>
  <cp:lastModifiedBy>meli likA</cp:lastModifiedBy>
  <cp:revision>2</cp:revision>
  <dcterms:created xsi:type="dcterms:W3CDTF">2026-02-24T11:55:00Z</dcterms:created>
  <dcterms:modified xsi:type="dcterms:W3CDTF">2026-02-24T11:55:00Z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9956e52b-6735-49f8-a7f7-7fdc1abbebf4</vt:lpwstr>
  </property>
  <property fmtid="{D5CDD505-2E9C-101B-9397-08002B2CF9AE}" pid="3" name="ZOTERO_PREF_1">
    <vt:lpwstr>&lt;data data-version="3" zotero-version="8.0.3"&gt;&lt;session id="64MpS3VJ"/&gt;&lt;style id="http://www.zotero.org/styles/nlm-citation-sequence" locale="en-US" hasBibliography="1" bibliographyStyleHasBeenSet="1"/&gt;&lt;prefs&gt;&lt;pref name="fieldType" value="Field"/&gt;&lt;pref nam</vt:lpwstr>
  </property>
  <property fmtid="{D5CDD505-2E9C-101B-9397-08002B2CF9AE}" pid="4" name="ZOTERO_PREF_2">
    <vt:lpwstr>e="automaticJournalAbbreviations" value="true"/&gt;&lt;/prefs&gt;&lt;/data&gt;</vt:lpwstr>
  </property>
</Properties>
</file>