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Methods</w:t>
      </w:r>
    </w:p>
    <w:p>
      <w:r>
        <w:rPr>
          <w:i/>
          <w:color w:val="555555"/>
          <w:sz w:val="20"/>
        </w:rPr>
        <w:t>Network-assisted MS/MS structure annotation with free-form LLMs (ego-mol-llm). Manuscript-ready draft — July 2026.</w:t>
      </w:r>
    </w:p>
    <w:p>
      <w:pPr>
        <w:pStyle w:val="Heading1"/>
      </w:pPr>
      <w:r>
        <w:t>Overview</w:t>
      </w:r>
    </w:p>
    <w:p>
      <w:r>
        <w:rPr>
          <w:b w:val="0"/>
          <w:sz w:val="22"/>
        </w:rPr>
        <w:t>We developed a network-assisted MS/MS structure assignment workflow in which an unlabeled precursor is annotated using its ego neighborhood in a spectral molecular network, optional spectral library reverse search, offline fragment explanation (rule-based and/or CFM-ID), and a frontier chemistry LLM as a free-form reasoner over that evidence. The product design treats the network and spectrum as primary evidence and the LLM as the structure-calling step—not pure de novo elucidation without network context, and not closed-set ranking alone.</w:t>
      </w:r>
    </w:p>
    <w:p>
      <w:r>
        <w:rPr>
          <w:b w:val="0"/>
          <w:sz w:val="22"/>
        </w:rPr>
        <w:t>Complementary ablations include deterministic product rankers (mass-gated neighbor/library voting), SIRIUS/CSI:FingerID, and CFM-ID network fragment transfer, used either as prompt blocks or as ranking signals.</w:t>
      </w:r>
    </w:p>
    <w:p>
      <w:pPr>
        <w:pStyle w:val="Heading1"/>
      </w:pPr>
      <w:r>
        <w:t>Molecular network and spectrum inputs</w:t>
      </w:r>
    </w:p>
    <w:p>
      <w:r>
        <w:rPr>
          <w:b w:val="0"/>
          <w:sz w:val="22"/>
        </w:rPr>
        <w:t>GraphML. Spectral networks were provided as GraphML (GNPS / HNSW-style). Nodes carried precursor mass (PEPMASS), optional library name and SMILES, community labels, and direct-neighbor flags. Edges stored MS/MS cosine similarity and absolute precursor delta m/z. For MassSpecGym HNSW egos, the query was encoded as a fixed seed node (id=9999999) with PEPMASS equal to the query precursor; library nodes retained names/SMILES.</w:t>
      </w:r>
    </w:p>
    <w:p>
      <w:r>
        <w:rPr>
          <w:b w:val="0"/>
          <w:sz w:val="22"/>
        </w:rPr>
        <w:t>MGF. Seed and subgraph MS/MS spectra were supplied as MGF. Subgraph spectra were keyed by NETWORK_NODE_ID matching GraphML node ids. Seed spectra for blind packs used precursor m/z, ion mode, and peak lists only (structure metadata removed).</w:t>
      </w:r>
    </w:p>
    <w:p>
      <w:r>
        <w:rPr>
          <w:b w:val="0"/>
          <w:sz w:val="22"/>
        </w:rPr>
        <w:t>Library reverse search (optional). When enabled, seed spectra were reverse-searched against NIST2023 MS/MS (LEVEL2 index) with precursor mass filtering and match-score ranking. Product policy treats seed NIST as optional verification (high score + mass-OK may support a structure; low scores are ignored). Neighbor-only NIST can be used for ablations without seed reverse search.</w:t>
      </w:r>
    </w:p>
    <w:p>
      <w:pPr>
        <w:pStyle w:val="Heading1"/>
      </w:pPr>
      <w:r>
        <w:t>Blind ego-context construction</w:t>
      </w:r>
    </w:p>
    <w:p>
      <w:pPr>
        <w:pStyle w:val="ListNumber"/>
      </w:pPr>
      <w:r>
        <w:t>Load GraphML and resolve the seed (explicit seed id 9999999 for MSG HNSW; do not rely on hub heuristics).</w:t>
      </w:r>
    </w:p>
    <w:p>
      <w:pPr>
        <w:pStyle w:val="ListNumber"/>
      </w:pPr>
      <w:r>
        <w:t>Build a one-hop (and optional two-hop) ego with seed name/SMILES hidden in blind mode.</w:t>
      </w:r>
    </w:p>
    <w:p>
      <w:pPr>
        <w:pStyle w:val="ListNumber"/>
      </w:pPr>
      <w:r>
        <w:t>Rank neighbors by mass-aware evidence score (edge cosine, near-isobar/multimer residuals, annotation richness; default top N = 25–50).</w:t>
      </w:r>
    </w:p>
    <w:p>
      <w:pPr>
        <w:pStyle w:val="ListNumber"/>
      </w:pPr>
      <w:r>
        <w:t>Attach spectral context: seed peaks, neighbor peaks, MS/MS cosine to seed, offline MS/MS explanation.</w:t>
      </w:r>
    </w:p>
    <w:p>
      <w:r>
        <w:rPr>
          <w:b w:val="0"/>
          <w:sz w:val="22"/>
        </w:rPr>
        <w:t>Mass / adduct gate. Candidate structures must fit observed precursor m/z under even-electron monomer and multimer adducts, including multi-water losses when needed. Default monomer mass tolerance was 0.05 Da unless stated. Multimer residual gate default 0.10 Da.</w:t>
      </w:r>
    </w:p>
    <w:p>
      <w:pPr>
        <w:pStyle w:val="Heading1"/>
      </w:pPr>
      <w:r>
        <w:t>Free-form LLM structure assignment</w:t>
      </w:r>
    </w:p>
    <w:p>
      <w:r>
        <w:rPr>
          <w:b w:val="0"/>
          <w:sz w:val="22"/>
        </w:rPr>
        <w:t>Frontier models received a fixed system prompt specifying network-assisted annotation; mass-first rules; multimer awareness; use of MS/MS and dual cosine; optional NIST as soft evidence; required JSON schema (smiles, name, formula, adduct, confidence, rationale, alternatives).</w:t>
      </w:r>
    </w:p>
    <w:p>
      <w:r>
        <w:rPr>
          <w:b w:val="0"/>
          <w:sz w:val="22"/>
        </w:rPr>
        <w:t>Strict free-form protocol required MASS → NETWORK → MS/MS → CHEMISTRY → DECISION and banned pack-wide SMILES indices, mass-transfer batch scripts, and external registry lookup. Strict-blind packs redacted database accessions from model-facing files; sealed truth retained full linkage offline.</w:t>
      </w:r>
    </w:p>
    <w:p>
      <w:r>
        <w:rPr>
          <w:b w:val="0"/>
          <w:sz w:val="22"/>
        </w:rPr>
        <w:t>Neighbor-only NIST evaluation arm. Neighbor MS/MS peaks were reverse-searched against NIST2023; hits were injected as a prompt block. The seed was never reverse-searched. Models were instructed to promote a neighbor NIST structure only if mass-consistent with the seed precursor.</w:t>
      </w:r>
    </w:p>
    <w:p>
      <w:r>
        <w:rPr>
          <w:b w:val="0"/>
          <w:sz w:val="22"/>
        </w:rPr>
        <w:t>Free-form validity. Valid free-form arms require sample-by-sample model consumption of each prompt. Bulk writers that mass-fit SMILES from pack prompts in minutes (or that self-report m/z clustering) were archived as ranker-style ablations and excluded from free-form accuracy claims.</w:t>
      </w:r>
    </w:p>
    <w:p>
      <w:pPr>
        <w:pStyle w:val="Heading1"/>
      </w:pPr>
      <w:r>
        <w:t>Blind evaluation packs</w:t>
      </w:r>
    </w:p>
    <w:p>
      <w:pPr>
        <w:pStyle w:val="Heading2"/>
      </w:pPr>
      <w:r>
        <w:t>ASTRAL / ego holdout packs (n = 40)</w:t>
      </w:r>
    </w:p>
    <w:p>
      <w:r>
        <w:rPr>
          <w:b w:val="0"/>
          <w:sz w:val="22"/>
        </w:rPr>
        <w:t>Randomized holdouts (e.g. holdout-40c/40d) were drawn from ASTRAL C18 networks. Each pack included GraphML, blind seed MGF, subgraph MGF, jobs/prompts, and a sealed truth index. Evidence arms included pure network, MGF-only ± NIST, SIRIUS-first, CFM-first, and product neighbor+MGF ranker.</w:t>
      </w:r>
    </w:p>
    <w:p>
      <w:pPr>
        <w:pStyle w:val="Heading2"/>
      </w:pPr>
      <w:r>
        <w:t>MassSpecGym HNSW subset (n = 285)</w:t>
      </w:r>
    </w:p>
    <w:p>
      <w:r>
        <w:rPr>
          <w:b w:val="0"/>
          <w:sz w:val="22"/>
        </w:rPr>
        <w:t>Spectra with precomputed HNSW ego GraphML and subgraph MGF were linked by full-file index N (HNSW_spectrum_N ↔ position N in MassSpecGym.mgf / official spectrum index). Overlap with the full official test fold was partial (285 of 17,556 test spectra in the early HNSW index range). A strict v2 rebuild removed MassSpecGym accessions from model-facing prompts.</w:t>
      </w:r>
    </w:p>
    <w:p>
      <w:pPr>
        <w:pStyle w:val="Heading2"/>
      </w:pPr>
      <w:r>
        <w:t>MassSpecGym HNSW full block (n = 11,540)</w:t>
      </w:r>
    </w:p>
    <w:p>
      <w:r>
        <w:rPr>
          <w:b w:val="0"/>
          <w:sz w:val="22"/>
        </w:rPr>
        <w:t>A second HNSW dump covered indices 219564–231103 (11,540 contiguous file-order positions). Seed PEPMASS checks matched the official index at 100%. Under official MSG fold labels (joined after index N; not present in GraphML), this block comprises approximately 11,386 train / 90 val / 64 test spectra—not the full official test fold (17,556). The block is chemically redundant (~1,780 unique IK1; ~6.5 spectra per molecule). Recommended free-form API set: official fold=test only, no IK1 dedupe (n=64; scripts/subset_msg_hnsw_handout_by_fold.py --fold test).</w:t>
      </w:r>
    </w:p>
    <w:p>
      <w:pPr>
        <w:pStyle w:val="Heading1"/>
      </w:pPr>
      <w:r>
        <w:t>Scoring</w:t>
      </w:r>
    </w:p>
    <w:p>
      <w:pPr>
        <w:pStyle w:val="ListBullet"/>
      </w:pPr>
      <w:r>
        <w:t>IK1: InChIKey first block equality (connectivity).</w:t>
      </w:r>
    </w:p>
    <w:p>
      <w:pPr>
        <w:pStyle w:val="ListBullet"/>
      </w:pPr>
      <w:r>
        <w:t>Exact: canonical SMILES equality.</w:t>
      </w:r>
    </w:p>
    <w:p>
      <w:pPr>
        <w:pStyle w:val="ListBullet"/>
      </w:pPr>
      <w:r>
        <w:t>Formula: RDKit molecular formula equality.</w:t>
      </w:r>
    </w:p>
    <w:p>
      <w:pPr>
        <w:pStyle w:val="ListBullet"/>
      </w:pPr>
      <w:r>
        <w:t>Tanimoto: Morgan fingerprints, radius 2, 2048 bits (thresholds 0.7 and 0.85).</w:t>
      </w:r>
    </w:p>
    <w:p>
      <w:r>
        <w:rPr>
          <w:b w:val="0"/>
          <w:sz w:val="22"/>
        </w:rPr>
        <w:t>When sealed InChIKeys disagreed with RDKit(true_smiles), scoring used RDKit-derived keys from true SMILES. Unique-molecule metrics are recommended when spectrum-level counts over-represent frequent structures.</w:t>
      </w:r>
    </w:p>
    <w:p>
      <w:pPr>
        <w:pStyle w:val="Heading1"/>
      </w:pPr>
      <w:r>
        <w:t>Case study: library meta-tyrosine mislabeled as tyrosine</w:t>
      </w:r>
    </w:p>
    <w:p>
      <w:r>
        <w:rPr>
          <w:b w:val="0"/>
          <w:sz w:val="22"/>
        </w:rPr>
        <w:t>Holdout spectrum AROMEC18COLGATE000057 was named “Tyrosine” with formula C9H11NO3, but sealed SMILES corresponds to meta-tyrosine (3-OH). Models often proposed para-tyrosine (standard L-Tyr), scored as IK1 miss with formula match—regioisomer disagreement with a misnamed library structure, not a random miss. This motivates scoring against structure (InChIKey/SMILES), not free-text names alone.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OH position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meta-tyrosine (sealed SMILES)</w:t>
            </w:r>
          </w:p>
        </w:tc>
        <w:tc>
          <w:tcPr>
            <w:tcW w:type="dxa" w:w="2880"/>
          </w:tcPr>
          <w:p>
            <w:r>
              <w:t>meta (3-)</w:t>
            </w:r>
          </w:p>
        </w:tc>
        <w:tc>
          <w:tcPr>
            <w:tcW w:type="dxa" w:w="2880"/>
          </w:tcPr>
          <w:p>
            <w:r>
              <w:t>Library / sealed truth</w:t>
            </w:r>
          </w:p>
        </w:tc>
      </w:tr>
      <w:tr>
        <w:tc>
          <w:tcPr>
            <w:tcW w:type="dxa" w:w="2880"/>
          </w:tcPr>
          <w:p>
            <w:r>
              <w:t>L-tyrosine (common name)</w:t>
            </w:r>
          </w:p>
        </w:tc>
        <w:tc>
          <w:tcPr>
            <w:tcW w:type="dxa" w:w="2880"/>
          </w:tcPr>
          <w:p>
            <w:r>
              <w:t>para (4-)</w:t>
            </w:r>
          </w:p>
        </w:tc>
        <w:tc>
          <w:tcPr>
            <w:tcW w:type="dxa" w:w="2880"/>
          </w:tcPr>
          <w:p>
            <w:r>
              <w:t>Typical model prediction</w:t>
            </w:r>
          </w:p>
        </w:tc>
      </w:tr>
    </w:tbl>
    <w:p/>
    <w:p>
      <w:pPr>
        <w:pStyle w:val="Heading1"/>
      </w:pPr>
      <w:r>
        <w:t>Baselines and ablations</w:t>
      </w:r>
    </w:p>
    <w:p>
      <w:pPr>
        <w:pStyle w:val="ListNumber"/>
      </w:pPr>
      <w:r>
        <w:t>Deterministic product ranker: mass-OK neighbor SMILES; seed NIST only if score ≥ 0.85 and mass-OK.</w:t>
      </w:r>
    </w:p>
    <w:p>
      <w:pPr>
        <w:pStyle w:val="ListNumber"/>
      </w:pPr>
      <w:r>
        <w:t>MGF-only ± NIST (no GraphML).</w:t>
      </w:r>
    </w:p>
    <w:p>
      <w:pPr>
        <w:pStyle w:val="ListNumber"/>
      </w:pPr>
      <w:r>
        <w:t>SIRIUS/CSI-first and CFM-first ranking without free-form LLM.</w:t>
      </w:r>
    </w:p>
    <w:p>
      <w:pPr>
        <w:pStyle w:val="ListNumber"/>
      </w:pPr>
      <w:r>
        <w:t>Free-form multi-model comparison on frozen prompts (Opus, Grok, local ChemDFM/Qwen).</w:t>
      </w:r>
    </w:p>
    <w:p>
      <w:pPr>
        <w:pStyle w:val="Heading1"/>
      </w:pPr>
      <w:r>
        <w:t>Limitations</w:t>
      </w:r>
    </w:p>
    <w:p>
      <w:r>
        <w:rPr>
          <w:b w:val="0"/>
          <w:sz w:val="22"/>
        </w:rPr>
        <w:t>Network LLM annotation inherits library annotation errors and spectral isobar confusion. MassSpecGym HNSW results apply only where ego GraphML exists; partial coverage must not be reported as full official-test performance. Free-form API cost limits complete multi-model runs on large packs. Expert review remains required for publication-grade IDs.</w:t>
      </w:r>
    </w:p>
    <w:p>
      <w:pPr>
        <w:pStyle w:val="Heading1"/>
      </w:pPr>
      <w:r>
        <w:t>Software and data availability</w:t>
      </w:r>
    </w:p>
    <w:p>
      <w:r>
        <w:rPr>
          <w:b w:val="0"/>
          <w:sz w:val="22"/>
        </w:rPr>
        <w:t>Implementation: ego-mol-llm (Apache-2.0), Python 3.10+, RDKit; optional SIRIUS CLI and CFM-ID Docker. Repository: https://github.com/Melin2012/ego-mol-llm. Blind packs use prompts/, jobs/, predictions_&lt;model&gt;/, and sealed truth_index.csv offline.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