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comparativo 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055"/>
        <w:gridCol w:w="1800"/>
        <w:gridCol w:w="1800"/>
        <w:gridCol w:w="1800"/>
        <w:tblGridChange w:id="0">
          <w:tblGrid>
            <w:gridCol w:w="1545"/>
            <w:gridCol w:w="2055"/>
            <w:gridCol w:w="1800"/>
            <w:gridCol w:w="1800"/>
            <w:gridCol w:w="18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df4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 1: a * x ** 2 + b * x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65.9090909090909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0.81748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0.90283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0.939959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 2 : a2*np.exp(x*b2)+c2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65.9090909090909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0.5338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0.939961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</w:t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el dataframe 1 (df1), el modelo 1 (a * x ** 2 + b * x + c) obtuvo un coeficiente de determinación de 0.81748, mientras que el modelo 2 (a2np.exp(xb2)+c2) obtuvo un coeficiente de determinación de 0.5338. Esto indica que el modelo 1 se ajusta mejor a los datos que el modelo 2.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el dataframe 2 (df2), ambos modelos obtuvieron resultados similares con coeficientes de determinación de 0.90283 y 0.9009 respectivamente, lo que sugiere que ambos modelos pueden ser adecuados para ajustar los datos en este caso.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el dataframe 3 (df3), el modelo 1 (a * x ** 2 + b * x + c) obtuvo un coeficiente de determinación de 0.939959, mientras que el modelo 2 (a2np.exp(xb2)+c2) obtuvo un coeficiente de determinación de 0.939961. Ambos modelos tienen un rendimiento muy similar en este caso.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el dataframe 4 (df4), el modelo 1 (a * x ** 2 + b * x + c) obtuvo un coeficiente de determinación de 0.0252, mientras que el modelo 2 (a2np.exp(xb2)+c2) obtuvo un coeficiente de determinación de NaN (no se pudo estimar la covarianza de los parámetros del modelo). Esto sugiere que el modelo 1 no es adecuado para ajustar los datos en este caso, mientras que el modelo 2 no puede ser evaluado debido a errores en la estimación de los parámetros.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resumen, los resultados indican que la elección del modelo adecuado para ajustar los datos depende del dataset y que en algunos casos, es posible que ninguno de los modelos propuestos sea adecuado.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Alexa Bustamante de la Cruz-A01173639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Melissa Hernandez Cid A017</w:t>
    </w:r>
    <w:r w:rsidDel="00000000" w:rsidR="00000000" w:rsidRPr="00000000">
      <w:rPr>
        <w:rFonts w:ascii="Roboto" w:cs="Roboto" w:eastAsia="Roboto" w:hAnsi="Roboto"/>
        <w:color w:val="212121"/>
        <w:sz w:val="24"/>
        <w:szCs w:val="24"/>
        <w:highlight w:val="white"/>
        <w:rtl w:val="0"/>
      </w:rPr>
      <w:t xml:space="preserve">32341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