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Function and Wellbeing Checklist</w:t>
      </w:r>
    </w:p>
    <w:p>
      <w:pPr>
        <w:pStyle w:val="Subtitle"/>
      </w:pPr>
      <w:r>
        <w:t>Personalized for Noah Bennett (synthetic case) • severe autism / very substantial support needs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 xml:space="preserve">Clinical meaning: </w:t>
            </w:r>
            <w:r>
              <w:t>This is not a cognitive test and does not measure “autism progression.” It tracks observable change from Noah's baseline. A sustained or sudden loss of communication, self-care, movement, alertness, or regulation should prompt evaluation for illness, pain, seizures, sleep/psychiatric problems, medication effects, trauma, or environmental mismatch.</w:t>
            </w:r>
          </w:p>
        </w:tc>
      </w:tr>
    </w:tbl>
    <w:p>
      <w:pPr>
        <w:pStyle w:val="Heading1"/>
      </w:pPr>
      <w:r>
        <w:t>Personalized baseline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Communication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Uses tablet AAC/picture board for food, break, toilet, music; a few spoken words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Understanding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Best with one-step language, visual model and 5–10 seconds processing time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Regulation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May flap/pace; usual distress resolves in ~15 minutes with quiet space, timer and familiar support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Self-care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Needs task breakdown and hands-on help for bathing, grooming and dressing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Eating/GI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Restricted food repertoire; usually eats after setup; constipation may affect behavior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Sleep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Usually 7–8 hours; current night waking occurs several nights/week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Movement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Independent walking; toe-walking/poor motor planning; no known recent loss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Safety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Requires direct supervision near traffic/water and in community; AAC/ID always available</w:t>
            </w:r>
          </w:p>
        </w:tc>
      </w:tr>
    </w:tbl>
    <w:p>
      <w:pPr>
        <w:pStyle w:val="Heading1"/>
      </w:pPr>
      <w:r>
        <w:t>Daily context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Date / observer / setting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Sleep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Hours ____  Waking ____  Snoring/event concern 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Schedule change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None ☐  Planned ☐  Unexpected ☐  Describe 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Possible physical trigger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Constipation ☐ Dental ☐ Illness ☐ Injury ☐ Hunger/thirst ☐ Medication change ☐ Unknown ☐</w:t>
            </w:r>
          </w:p>
        </w:tc>
      </w:tr>
    </w:tbl>
    <w:p>
      <w:pPr>
        <w:pStyle w:val="Heading1"/>
      </w:pPr>
      <w:r>
        <w:t>Rating key</w:t>
      </w:r>
    </w:p>
    <w:p>
      <w:r>
        <w:rPr>
          <w:b/>
        </w:rPr>
        <w:t>0 = usual baseline   1 = mild change   2 = clear change / more support   3 = severe or unsafe   N/O = not observed</w:t>
      </w:r>
    </w:p>
    <w:p>
      <w:pPr>
        <w:pStyle w:val="Heading1"/>
      </w:pPr>
      <w:r>
        <w:t>Daily observations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4000"/>
        <w:gridCol w:w="1850"/>
        <w:gridCol w:w="1600"/>
        <w:gridCol w:w="1910"/>
      </w:tblGrid>
      <w:tr>
        <w:trPr>
          <w:tblHeader w:val="true"/>
        </w:trPr>
        <w:tc>
          <w:tcPr>
            <w:tcW w:type="dxa" w:w="4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Observe—do not repeatedly test</w:t>
            </w:r>
          </w:p>
        </w:tc>
        <w:tc>
          <w:tcPr>
            <w:tcW w:type="dxa" w:w="18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Rating</w:t>
            </w:r>
          </w:p>
        </w:tc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Count / example</w:t>
            </w:r>
          </w:p>
        </w:tc>
        <w:tc>
          <w:tcPr>
            <w:tcW w:type="dxa" w:w="19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What helped / action</w:t>
            </w:r>
          </w:p>
        </w:tc>
      </w:tr>
      <w:tr>
        <w:trPr>
          <w:cantSplit/>
        </w:trPr>
        <w:tc>
          <w:tcPr>
            <w:tcW w:type="dxa" w:w="40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t>COMMUNICATION &amp; CONNECTION</w:t>
            </w:r>
          </w:p>
        </w:tc>
        <w:tc>
          <w:tcPr>
            <w:tcW w:type="dxa" w:w="185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6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91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Used AAC/gesture/words to request needs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Understood familiar one-step instruction with usual support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Initiated or responded to familiar person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Could communicate pain, stop, help, break or toilet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t>REGULATION &amp; BEHAVIOR</w:t>
            </w:r>
          </w:p>
        </w:tc>
        <w:tc>
          <w:tcPr>
            <w:tcW w:type="dxa" w:w="185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6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91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Distress episode longer/more intense than baseline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Self-injury: hand-biting, head-hitting or other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Aggression/property destruction/unsafe behavior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Recovered using usual plan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New shutdown, freezing, unusual slowing or loss of initiation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t>FLEXIBILITY &amp; SENSORY</w:t>
            </w:r>
          </w:p>
        </w:tc>
        <w:tc>
          <w:tcPr>
            <w:tcW w:type="dxa" w:w="185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6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91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Managed planned transitions with visual support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Marked distress from noise/light/touch/taste/crowding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Accepted grooming/dressing/toothbrushing at baseline level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Repetitive movement changed sharply from baseline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t>ADAPTIVE FUNCTION</w:t>
            </w:r>
          </w:p>
        </w:tc>
        <w:tc>
          <w:tcPr>
            <w:tcW w:type="dxa" w:w="185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6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91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Eating/drinking ability changed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Toileting or continence changed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Needed more help with dressing/hygiene than baseline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Lost a previously stable daily skill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t>PHYSICAL HEALTH &amp; SLEEP</w:t>
            </w:r>
          </w:p>
        </w:tc>
        <w:tc>
          <w:tcPr>
            <w:tcW w:type="dxa" w:w="185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6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91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Possible pain: guarding, grimacing, pressing body part, sleep/behavior change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Bowel movement outside usual pattern or abdominal concern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Fever, vomiting, reduced fluids/urine, dental/ear/skin concern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Sleep much worse or unusual daytime sedation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Possible seizure, staring spell, new weakness or gait change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t>MOVEMENT &amp; MEDICATION</w:t>
            </w:r>
          </w:p>
        </w:tc>
        <w:tc>
          <w:tcPr>
            <w:tcW w:type="dxa" w:w="185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6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91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Walked/moved at usual level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New stiffness, tremor, restlessness, slowed movement, facial/tongue/chewing movement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Medication refused/missed/vomited or possible adverse effect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Guardian/support person could safely complete care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</w:tbl>
    <w:p>
      <w:pPr>
        <w:pStyle w:val="Heading1"/>
      </w:pPr>
      <w:r>
        <w:t>Daily totals and handoff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AAC available all day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Yes ☐  No ☐  Backup used ☐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Distress / self-injury episodes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Number ____  Longest ____ min  Injury? 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Food / fluid intake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Usual ☐  Reduced ☐  Minimal ☐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Bowel movement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Yes ☐  No ☐  Concern 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Medicines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 ordered ☐  Variance __________________________________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Best successful activity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Most important change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Who was notified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 call ☐  Guardian ☐ Clinician ☐ Therapist ☐ Crisis/emergency 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r>
              <w:rPr>
                <w:rFonts w:ascii="Calibri" w:hAnsi="Calibri"/>
                <w:b/>
                <w:color w:val="9B1C1C"/>
                <w:sz w:val="22"/>
              </w:rPr>
              <w:t xml:space="preserve">Emergency: </w:t>
            </w:r>
            <w:r>
              <w:t>severe injury/bleeding, breathing difficulty, poisoning, prolonged seizure, loss of consciousness, dangerous elopement, or imminent harm that cannot be safely contained.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E5"/>
          </w:tcPr>
          <w:p>
            <w:r>
              <w:rPr>
                <w:rFonts w:ascii="Calibri" w:hAnsi="Calibri"/>
                <w:b/>
                <w:color w:val="7A5A00"/>
                <w:sz w:val="22"/>
              </w:rPr>
              <w:t xml:space="preserve">Prompt clinical call: </w:t>
            </w:r>
            <w:r>
              <w:t>true skill loss, sudden marked behavior/alertness change, possible pain/illness, repeated seizure-like events, persistent intake/urine decline, severe constipation symptoms, new movement abnormality, medication adverse effect, or any rating of 3.</w:t>
            </w:r>
          </w:p>
        </w:tc>
      </w:tr>
    </w:tbl>
    <w:p>
      <w:r>
        <w:t>Review patterns weekly with the team; do not add all ratings into a diagnostic “severity score.” Formal adaptive, communication, behavior, pain, sleep, or movement scales should be selected and administered by qualified clinicians. [1,4,6,13,20,21]</w:t>
      </w:r>
    </w:p>
    <w:p>
      <w:pPr>
        <w:pStyle w:val="Heading1"/>
      </w:pPr>
      <w:r>
        <w:t>References</w:t>
      </w:r>
    </w:p>
    <w:p>
      <w:pPr>
        <w:spacing w:after="40" w:line="240" w:lineRule="auto"/>
        <w:ind w:left="288" w:hanging="288"/>
      </w:pPr>
      <w:r>
        <w:t xml:space="preserve">1. Hirota T, King BH. Autism Spectrum Disorder. JAMA. 2023;329:157-168. </w:t>
      </w:r>
      <w:hyperlink r:id="rId11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3. Carbone PS, Stipelman CH, Villalobos ME, et al. Parent-reported severe versus mild/moderate autism among US children. J Dev Behav Pediatr. 2024;45:e422-e430. </w:t>
      </w:r>
      <w:hyperlink r:id="rId12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4. Hyman SL, Levy SE, Myers SM, et al. Identification, Evaluation, and Management of Children With Autism Spectrum Disorder. Pediatrics. 2020;145:e20193447. </w:t>
      </w:r>
      <w:hyperlink r:id="rId13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6. Lord C, Elsabbagh M, Baird G, Veenstra-Vanderweele J. Autism Spectrum Disorder. Lancet. 2018;392:508-520. </w:t>
      </w:r>
      <w:hyperlink r:id="rId14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10. Lai MC, Anagnostou E, Wiznitzer M, et al. Evidence-Based Support for Autistic People Across the Lifespan. Lancet Neurol. 2020;19:434-451. </w:t>
      </w:r>
      <w:hyperlink r:id="rId15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13. McGuire K, Fung LK, Hagopian L, et al. Irritability and Problem Behavior in Autism: A Practice Pathway. Pediatrics. 2016;137:S136-S148. </w:t>
      </w:r>
      <w:hyperlink r:id="rId16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19. Chun TH, Mace SE, Katz ER, et al. Evaluation and Management of Children With Acute Mental Health or Behavioral Problems, Part II. Pediatrics. 2016;138:e20161573. </w:t>
      </w:r>
      <w:hyperlink r:id="rId17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20. Carbon M, Kapoor S, Sheridan E, et al. Neuromotor Adverse Effects in Youth Treated With Second-Generation Antipsychotics. JAACAP. 2015;54:718-727.e3. </w:t>
      </w:r>
      <w:hyperlink r:id="rId18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21. Martino D, Karnik V, Bhidayasiri R, et al. Scales for Antipsychotic-Associated Movement Disorders. Mov Disord. 2023;38:1008-1026. </w:t>
      </w:r>
      <w:hyperlink r:id="rId19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23. American Speech-Language-Hearing Association. Augmentative and Alternative Communication Practice Portal. </w:t>
      </w:r>
      <w:hyperlink r:id="rId20">
        <w:r>
          <w:rPr>
            <w:color w:val="2E74B5"/>
            <w:u w:val="single"/>
          </w:rPr>
          <w:t>Source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B7280"/>
        <w:sz w:val="16"/>
      </w:rPr>
      <w:t>DAILY FUNCTION AND WELLBEING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01/jama.2022.23661" TargetMode="External"/><Relationship Id="rId12" Type="http://schemas.openxmlformats.org/officeDocument/2006/relationships/hyperlink" Target="https://doi.org/10.1097/DBP.0000000000001306" TargetMode="External"/><Relationship Id="rId13" Type="http://schemas.openxmlformats.org/officeDocument/2006/relationships/hyperlink" Target="https://doi.org/10.1542/peds.2019-3447" TargetMode="External"/><Relationship Id="rId14" Type="http://schemas.openxmlformats.org/officeDocument/2006/relationships/hyperlink" Target="https://doi.org/10.1016/S0140-6736(18)31129-2" TargetMode="External"/><Relationship Id="rId15" Type="http://schemas.openxmlformats.org/officeDocument/2006/relationships/hyperlink" Target="https://doi.org/10.1016/S1474-4422(20)30034-X" TargetMode="External"/><Relationship Id="rId16" Type="http://schemas.openxmlformats.org/officeDocument/2006/relationships/hyperlink" Target="https://doi.org/10.1542/peds.2015-2851L" TargetMode="External"/><Relationship Id="rId17" Type="http://schemas.openxmlformats.org/officeDocument/2006/relationships/hyperlink" Target="https://doi.org/10.1542/peds.2016-1573" TargetMode="External"/><Relationship Id="rId18" Type="http://schemas.openxmlformats.org/officeDocument/2006/relationships/hyperlink" Target="https://doi.org/10.1016/j.jaac.2015.06.015" TargetMode="External"/><Relationship Id="rId19" Type="http://schemas.openxmlformats.org/officeDocument/2006/relationships/hyperlink" Target="https://doi.org/10.1002/mds.29392" TargetMode="External"/><Relationship Id="rId20" Type="http://schemas.openxmlformats.org/officeDocument/2006/relationships/hyperlink" Target="https://www.asha.org/practice-portal/professional-issues/augmentative-and-alternative-communi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