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Care Guide for a Young Adult With Severe Autism</w:t>
      </w:r>
    </w:p>
    <w:p>
      <w:pPr>
        <w:pStyle w:val="Subtitle"/>
      </w:pPr>
      <w:r>
        <w:t>Communication, daily care, movement/PT, food and medication safety for family guardians and caregivers</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Core approach: </w:t>
            </w:r>
            <w:r>
              <w:t>Presume competence. Behavior communicates something, even when its meaning is unclear. Provide reliable AAC, reduce preventable demands and sensory overload, teach useful skills, and investigate medical or dental causes before treating a new behavior as “just autism.”</w:t>
            </w:r>
          </w:p>
        </w:tc>
      </w:tr>
    </w:tbl>
    <w:p>
      <w:pPr>
        <w:pStyle w:val="Heading1"/>
      </w:pPr>
      <w:r>
        <w:t>1. One-page information to keep visible</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Preferred name / pronouns</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Communication system / backup</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How yes / no / stop are shown</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Calming supports</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Known triggers / early distress signs</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Allergies / diagnoses</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Medication / PRN plan</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Guardian / clinician / crisis numbers</w:t>
            </w:r>
          </w:p>
        </w:tc>
        <w:tc>
          <w:tcPr>
            <w:tcW w:type="dxa" w:w="6660"/>
            <w:tcMar>
              <w:top w:w="80" w:type="dxa"/>
              <w:bottom w:w="80" w:type="dxa"/>
              <w:start w:w="120" w:type="dxa"/>
              <w:end w:w="120" w:type="dxa"/>
            </w:tcMar>
          </w:tcPr>
          <w:p>
            <w:r>
              <w:t>________________</w:t>
            </w:r>
          </w:p>
        </w:tc>
      </w:tr>
      <w:tr>
        <w:tc>
          <w:tcPr>
            <w:tcW w:type="dxa" w:w="2700"/>
            <w:shd w:fill="F2F4F7"/>
            <w:tcMar>
              <w:top w:w="80" w:type="dxa"/>
              <w:bottom w:w="80" w:type="dxa"/>
              <w:start w:w="120" w:type="dxa"/>
              <w:end w:w="120" w:type="dxa"/>
            </w:tcMar>
          </w:tcPr>
          <w:p>
            <w:r>
              <w:rPr>
                <w:b/>
                <w:color w:val="1F4D78"/>
              </w:rPr>
              <w:t>Elopement / emergency plan</w:t>
            </w:r>
          </w:p>
        </w:tc>
        <w:tc>
          <w:tcPr>
            <w:tcW w:type="dxa" w:w="6660"/>
            <w:tcMar>
              <w:top w:w="80" w:type="dxa"/>
              <w:bottom w:w="80" w:type="dxa"/>
              <w:start w:w="120" w:type="dxa"/>
              <w:end w:w="120" w:type="dxa"/>
            </w:tcMar>
          </w:tcPr>
          <w:p>
            <w:r>
              <w:t>________________</w:t>
            </w:r>
          </w:p>
        </w:tc>
      </w:tr>
    </w:tbl>
    <w:p>
      <w:pPr>
        <w:pStyle w:val="Heading1"/>
      </w:pPr>
      <w:r>
        <w:t>2. Communication and consent</w:t>
      </w:r>
    </w:p>
    <w:p>
      <w:pPr>
        <w:pStyle w:val="ListBullet"/>
      </w:pPr>
      <w:r>
        <w:t>Keep the speech-generating device charged, unlocked, within reach and available across home/community. Carry a low-tech picture/word backup. AAC is communication—not a reward—and should never be removed as punishment. [4,10,23]</w:t>
      </w:r>
    </w:p>
    <w:p>
      <w:pPr>
        <w:pStyle w:val="ListBullet"/>
      </w:pPr>
      <w:r>
        <w:t>Speak directly to the person; use concrete one-step language, visuals and modeling. Wait before repeating. Offer two real choices and honor “no,” “stop,” “break,” and pain communication whenever safely possible.</w:t>
      </w:r>
    </w:p>
    <w:p>
      <w:pPr>
        <w:pStyle w:val="ListBullet"/>
      </w:pPr>
      <w:r>
        <w:t>Presume understanding may exceed spoken language. Do not discuss the person as if absent. Seek assent for care; pause and adapt nonurgent care when refusal/distress occurs.</w:t>
      </w:r>
    </w:p>
    <w:p>
      <w:pPr>
        <w:pStyle w:val="ListBullet"/>
      </w:pPr>
      <w:r>
        <w:t>Teach and model functional words/messages: help, stop, break, pain/body parts, toilet, hungry, drink, finished, yes/no, quiet and emergency. All communication partners should respond consistently.</w:t>
      </w:r>
    </w:p>
    <w:p>
      <w:pPr>
        <w:pStyle w:val="ListBullet"/>
      </w:pPr>
      <w:r>
        <w:t>Do not use facilitated communication or any method in which another person guides authorship.</w:t>
      </w:r>
    </w:p>
    <w:p>
      <w:pPr>
        <w:pStyle w:val="Heading1"/>
      </w:pPr>
      <w:r>
        <w:t>3. Predictable home routine and regulation</w:t>
      </w:r>
    </w:p>
    <w:p>
      <w:pPr>
        <w:pStyle w:val="ListBullet"/>
      </w:pPr>
      <w:r>
        <w:t>Use a visual daily schedule and first-then board. Preview changes early; mark finished activities; use timers/countdowns; keep transitions short and concrete.</w:t>
      </w:r>
    </w:p>
    <w:p>
      <w:pPr>
        <w:pStyle w:val="ListBullet"/>
      </w:pPr>
      <w:r>
        <w:t>Build regular access to preferred movement, music, objects, quiet space and sensory supports identified by OT—not only after distress.</w:t>
      </w:r>
    </w:p>
    <w:p>
      <w:pPr>
        <w:pStyle w:val="ListBullet"/>
      </w:pPr>
      <w:r>
        <w:t>At early distress signs: reduce language, remove the audience/noise, offer break/AAC, increase physical space, and check pain, toilet, hunger, temperature and task difficulty. Avoid arguing or demanding eye contact.</w:t>
      </w:r>
    </w:p>
    <w:p>
      <w:pPr>
        <w:pStyle w:val="ListBullet"/>
      </w:pPr>
      <w:r>
        <w:t>During unsafe behavior: protect head/body, move hazards/other people, keep voice neutral, use only the written crisis plan and least-restrictive trained response. Do not improvise restraint. Call for help before safety fails.</w:t>
      </w:r>
    </w:p>
    <w:p>
      <w:pPr>
        <w:pStyle w:val="ListBullet"/>
      </w:pPr>
      <w:r>
        <w:t>After recovery: return to calm routine; document antecedent, observable behavior, duration, injury, response and what helped. Do not punish communication or self-regulation movements that are not harmful. [1,4,10,13,22]</w:t>
      </w:r>
    </w:p>
    <w:p>
      <w:pPr>
        <w:pStyle w:val="Heading1"/>
      </w:pPr>
      <w:r>
        <w:t>4. Daily living and personal care</w:t>
      </w:r>
    </w:p>
    <w:p>
      <w:pPr>
        <w:pStyle w:val="ListBullet"/>
      </w:pPr>
      <w:r>
        <w:t>Break bathing, dressing, toothbrushing, toileting and grooming into visible steps. Teach one step at a time; allow extra time and the person to do any part independently.</w:t>
      </w:r>
    </w:p>
    <w:p>
      <w:pPr>
        <w:pStyle w:val="ListBullet"/>
      </w:pPr>
      <w:r>
        <w:t>Use sensory adaptations selected with OT/dental teams: predictable water temperature, unscented products, preferred towels, mirror choice, electric/manual toothbrush choice, rehearsal visits and scheduled breaks.</w:t>
      </w:r>
    </w:p>
    <w:p>
      <w:pPr>
        <w:pStyle w:val="ListBullet"/>
      </w:pPr>
      <w:r>
        <w:t>For sudden refusal of a previously tolerated task, look for dental pain, skin injury, constipation, infection, fatigue, trauma or a change in staff/environment.</w:t>
      </w:r>
    </w:p>
    <w:p>
      <w:pPr>
        <w:pStyle w:val="ListBullet"/>
      </w:pPr>
      <w:r>
        <w:t>Use privacy and age-respectful care. Explain touch before touching. Keep a consistent caregiver when possible and document successful approaches.</w:t>
      </w:r>
    </w:p>
    <w:p>
      <w:pPr>
        <w:pStyle w:val="Heading1"/>
      </w:pPr>
      <w:r>
        <w:t>5. Movement, exercise, and physical therapy</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E8EEF5"/>
          </w:tcPr>
          <w:p>
            <w:r>
              <w:rPr>
                <w:rFonts w:ascii="Calibri" w:hAnsi="Calibri"/>
                <w:b/>
                <w:color w:val="1F4D78"/>
                <w:sz w:val="22"/>
              </w:rPr>
              <w:t xml:space="preserve">PT boundary: </w:t>
            </w:r>
            <w:r>
              <w:t>PT should address an identified functional need—gait, balance, strength, flexibility, pain, endurance, motor planning or safe participation. Use only the individualized home program; do not force stretching or treat stereotyped movement solely because it looks different.</w:t>
            </w:r>
          </w:p>
        </w:tc>
      </w:tr>
    </w:tbl>
    <w:p>
      <w:pPr>
        <w:pStyle w:val="ListBullet"/>
      </w:pPr>
      <w:r>
        <w:t>Choose predictable, preferred activities: walking route, stairs with supervision, swimming only with one-to-one water safety, cycling equipment, dance, resistance bands or games—after clinical clearance.</w:t>
      </w:r>
    </w:p>
    <w:p>
      <w:pPr>
        <w:pStyle w:val="ListBullet"/>
      </w:pPr>
      <w:r>
        <w:t>Use visual demonstration, same sequence, clear finish point, short blocks and reinforcement. Track function and comfort rather than compliance.</w:t>
      </w:r>
    </w:p>
    <w:p>
      <w:pPr>
        <w:pStyle w:val="ListBullet"/>
      </w:pPr>
      <w:r>
        <w:t>Stop and seek assessment for new weakness, falls, swelling, persistent pain, major gait change, exercise intolerance or true loss of motor skill.</w:t>
      </w:r>
    </w:p>
    <w:p>
      <w:pPr>
        <w:pStyle w:val="ListBullet"/>
      </w:pPr>
      <w:r>
        <w:t>Water safety is critical: direct supervision, barriers/alarms, life jacket when appropriate, and no reliance on swimming ability to prevent drowning. [3,4,6,10]</w:t>
      </w:r>
    </w:p>
    <w:p>
      <w:pPr>
        <w:pStyle w:val="Heading1"/>
      </w:pPr>
      <w:r>
        <w:t>6. Food, nutrition, GI health, and sleep</w:t>
      </w:r>
    </w:p>
    <w:p>
      <w:pPr>
        <w:pStyle w:val="ListBullet"/>
      </w:pPr>
      <w:r>
        <w:t>Keep a neutral log of foods accepted, fluids, stool, reflux/vomiting, choking, weight trend and behavior around meals. Seek dietitian/feeding-team assessment for nutritional gaps, growth/weight change, pica, choking or severe restriction.</w:t>
      </w:r>
    </w:p>
    <w:p>
      <w:pPr>
        <w:pStyle w:val="ListBullet"/>
      </w:pPr>
      <w:r>
        <w:t>Do not force food, hide medicines in food without an agreed plan, or abruptly remove safe preferred foods. Use gradual exposure and sensory-informed feeding goals led by qualified clinicians.</w:t>
      </w:r>
    </w:p>
    <w:p>
      <w:pPr>
        <w:pStyle w:val="ListBullet"/>
      </w:pPr>
      <w:r>
        <w:t>Do not use gluten-free/casein-free, ketogenic, supplement, detox or other restrictive regimens to treat core autism without a separate medical indication and clinician/dietitian oversight; restrictions can worsen nutrition and burden. [4,22]</w:t>
      </w:r>
    </w:p>
    <w:p>
      <w:pPr>
        <w:pStyle w:val="ListBullet"/>
      </w:pPr>
      <w:r>
        <w:t>Treat constipation, reflux, dental pain, allergy and swallowing problems according to medical orders; these may present as behavior change.</w:t>
      </w:r>
    </w:p>
    <w:p>
      <w:pPr>
        <w:pStyle w:val="ListBullet"/>
      </w:pPr>
      <w:r>
        <w:t>Use a consistent wake time, calming routine, dark/quiet room and sleep log. Discuss snoring, gasping, restless sleep, nocturnal events or persistent insomnia with the clinician. Melatonin or any sleep product requires prescriber review.</w:t>
      </w:r>
    </w:p>
    <w:p>
      <w:pPr>
        <w:pStyle w:val="Heading1"/>
      </w:pPr>
      <w:r>
        <w:t>7. Medicines and monitoring</w:t>
      </w:r>
    </w:p>
    <w:p>
      <w:pPr>
        <w:pStyle w:val="ListBullet"/>
      </w:pPr>
      <w:r>
        <w:t>Medication does not treat core social-communication differences. It may target a clearly defined co-occurring symptom such as dangerous irritability/aggression, ADHD, anxiety/depression, epilepsy or sleep disorder within a broader plan. [1,4,10–13]</w:t>
      </w:r>
    </w:p>
    <w:p>
      <w:pPr>
        <w:pStyle w:val="ListBullet"/>
      </w:pPr>
      <w:r>
        <w:t>Before starting: write the exact target behavior, baseline frequency/duration/severity, medical/functional assessment, expected benefit, review date, adverse-effect plan and stop criteria. Use one change at a time when possible.</w:t>
      </w:r>
    </w:p>
    <w:p>
      <w:pPr>
        <w:pStyle w:val="ListBullet"/>
      </w:pPr>
      <w:r>
        <w:t>Never start, stop, crush, hide, double or change a dose without prescriber/pharmacist instructions. Record missed/refused/vomited doses and PRN timing/response.</w:t>
      </w:r>
    </w:p>
    <w:p>
      <w:pPr>
        <w:pStyle w:val="ListBullet"/>
      </w:pPr>
      <w:r>
        <w:t>For risperidone/aripiprazole: follow the prescriber's metabolic and movement-monitoring plan. Track appetite/weight, sedation, constipation, thirst/urination, restlessness, stiffness, tremor and facial/tongue movements. Clinicians may monitor BMI, BP, glucose/HbA1c, lipids, movement scale, prolactin symptoms and ECG risk. [15–21]</w:t>
      </w:r>
    </w:p>
    <w:p>
      <w:pPr>
        <w:pStyle w:val="ListBullet"/>
      </w:pPr>
      <w:r>
        <w:t>Seek emergency help for high fever plus severe rigidity/confusion, collapse, seizure, breathing difficulty, severe allergic reaction or suspected overdose. Promptly report new abnormal movements, extreme sedation, fainting, marked thirst/urination, rapid weight change, breast discharge/swelling, menstrual/sexual symptoms or severe constipation.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Current medicine / purpose</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Target behavior and baseline</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PRN rule / maximum</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Last medication review</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Weight/BMI and lab schedule</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Movement monitoring tool/date</w:t>
            </w:r>
          </w:p>
        </w:tc>
        <w:tc>
          <w:tcPr>
            <w:tcW w:type="dxa" w:w="6660"/>
            <w:tcMar>
              <w:top w:w="80" w:type="dxa"/>
              <w:bottom w:w="80" w:type="dxa"/>
              <w:start w:w="120" w:type="dxa"/>
              <w:end w:w="120" w:type="dxa"/>
            </w:tcMar>
          </w:tcPr>
          <w:p>
            <w:r>
              <w:t>________________________________________</w:t>
            </w:r>
          </w:p>
        </w:tc>
      </w:tr>
    </w:tbl>
    <w:p>
      <w:pPr>
        <w:pStyle w:val="Heading1"/>
      </w:pPr>
      <w:r>
        <w:t>8. Safety, community, and caregiver support</w:t>
      </w:r>
    </w:p>
    <w:p>
      <w:pPr>
        <w:pStyle w:val="ListBullet"/>
      </w:pPr>
      <w:r>
        <w:t>Use layered elopement prevention: identification, recent photo, door/window safeguards, neighbors/first responders as appropriate, direct traffic/water supervision and a written search plan. Do not rely on a single alarm.</w:t>
      </w:r>
    </w:p>
    <w:p>
      <w:pPr>
        <w:pStyle w:val="ListBullet"/>
      </w:pPr>
      <w:r>
        <w:t>Lock medications, chemicals, weapons, alcohol and dangerous tools. Teach safety through visuals and rehearsal while maintaining appropriate supervision.</w:t>
      </w:r>
    </w:p>
    <w:p>
      <w:pPr>
        <w:pStyle w:val="ListBullet"/>
      </w:pPr>
      <w:r>
        <w:t>Prepare an emergency profile: communication, triggers, calming actions, medical conditions, medications, guardian contact and how to avoid escalation.</w:t>
      </w:r>
    </w:p>
    <w:p>
      <w:pPr>
        <w:pStyle w:val="ListBullet"/>
      </w:pPr>
      <w:r>
        <w:t>Plan respite and backup caregivers. Train every person on AAC, positive support, emergency plan and medication rules. Caregiver stress is a care-quality and safety issue, not a personal failure. [3,4,10]</w:t>
      </w:r>
    </w:p>
    <w:p>
      <w:pPr>
        <w:pStyle w:val="Heading1"/>
      </w:pPr>
      <w:r>
        <w:t>9. When to call</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DECEC"/>
          </w:tcPr>
          <w:p>
            <w:r>
              <w:rPr>
                <w:rFonts w:ascii="Calibri" w:hAnsi="Calibri"/>
                <w:b/>
                <w:color w:val="9B1C1C"/>
                <w:sz w:val="22"/>
              </w:rPr>
              <w:t xml:space="preserve">Emergency: </w:t>
            </w:r>
            <w:r>
              <w:t>severe injury/bleeding, breathing difficulty, poisoning/overdose, prolonged seizure, loss of consciousness, dangerous elopement, weapon access, or imminent harm that cannot be safely contained.</w:t>
            </w:r>
          </w:p>
        </w:tc>
      </w:tr>
    </w:tbl>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9360"/>
      </w:tblGrid>
      <w:tr>
        <w:tc>
          <w:tcPr>
            <w:tcW w:type="dxa" w:w="9360"/>
            <w:tcMar>
              <w:top w:w="80" w:type="dxa"/>
              <w:bottom w:w="80" w:type="dxa"/>
              <w:start w:w="120" w:type="dxa"/>
              <w:end w:w="120" w:type="dxa"/>
            </w:tcMar>
            <w:shd w:fill="FFF4E5"/>
          </w:tcPr>
          <w:p>
            <w:r>
              <w:rPr>
                <w:rFonts w:ascii="Calibri" w:hAnsi="Calibri"/>
                <w:b/>
                <w:color w:val="7A5A00"/>
                <w:sz w:val="22"/>
              </w:rPr>
              <w:t xml:space="preserve">Prompt clinician/crisis-team contact: </w:t>
            </w:r>
            <w:r>
              <w:t>true regression, sudden behavior/alertness change, suspected pain/illness, repeated seizure-like event, dehydration, severe constipation symptoms, new abnormal movement, medication adverse effect, or caregiver inability to maintain safety.</w:t>
            </w:r>
          </w:p>
        </w:tc>
      </w:tr>
    </w:tbl>
    <w:p>
      <w:pPr>
        <w:pStyle w:val="Heading1"/>
      </w:pPr>
      <w:r>
        <w:t>Patient-specific home plan</w:t>
      </w:r>
    </w:p>
    <w:tbl>
      <w:tblPr>
        <w:tblW w:type="dxa" w:w="9360"/>
        <w:jc w:val="left"/>
        <w:tblLayout w:type="fixed"/>
        <w:tblLook w:firstColumn="1" w:firstRow="1" w:lastColumn="0" w:lastRow="0" w:noHBand="0" w:noVBand="1" w:val="04A0"/>
        <w:tblInd w:w="120" w:type="dxa"/>
        <w:tblBorders>
          <w:top w:val="single" w:sz="4" w:color="B7C5D5"/>
          <w:left w:val="single" w:sz="4" w:color="B7C5D5"/>
          <w:bottom w:val="single" w:sz="4" w:color="B7C5D5"/>
          <w:right w:val="single" w:sz="4" w:color="B7C5D5"/>
          <w:insideH w:val="single" w:sz="4" w:color="B7C5D5"/>
          <w:insideV w:val="single" w:sz="4" w:color="B7C5D5"/>
        </w:tblBorders>
      </w:tblPr>
      <w:tblGrid>
        <w:gridCol w:w="2700"/>
        <w:gridCol w:w="6660"/>
      </w:tblGrid>
      <w:tr>
        <w:tc>
          <w:tcPr>
            <w:tcW w:type="dxa" w:w="2700"/>
            <w:shd w:fill="F2F4F7"/>
            <w:tcMar>
              <w:top w:w="80" w:type="dxa"/>
              <w:bottom w:w="80" w:type="dxa"/>
              <w:start w:w="120" w:type="dxa"/>
              <w:end w:w="120" w:type="dxa"/>
            </w:tcMar>
          </w:tcPr>
          <w:p>
            <w:r>
              <w:rPr>
                <w:b/>
                <w:color w:val="1F4D78"/>
              </w:rPr>
              <w:t>AAC / backup / partner strategy</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Visual schedule / transition supports</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Early distress signs / de-escalation</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Self-injury protection plan</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OT sensory/self-care plan</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PT home program</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Diet / GI / feeding plan</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Medication / monitoring plan</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Elopement / water safety plan</w:t>
            </w:r>
          </w:p>
        </w:tc>
        <w:tc>
          <w:tcPr>
            <w:tcW w:type="dxa" w:w="6660"/>
            <w:tcMar>
              <w:top w:w="80" w:type="dxa"/>
              <w:bottom w:w="80" w:type="dxa"/>
              <w:start w:w="120" w:type="dxa"/>
              <w:end w:w="120" w:type="dxa"/>
            </w:tcMar>
          </w:tcPr>
          <w:p>
            <w:r>
              <w:t>________________________________________</w:t>
            </w:r>
          </w:p>
        </w:tc>
      </w:tr>
      <w:tr>
        <w:tc>
          <w:tcPr>
            <w:tcW w:type="dxa" w:w="2700"/>
            <w:shd w:fill="F2F4F7"/>
            <w:tcMar>
              <w:top w:w="80" w:type="dxa"/>
              <w:bottom w:w="80" w:type="dxa"/>
              <w:start w:w="120" w:type="dxa"/>
              <w:end w:w="120" w:type="dxa"/>
            </w:tcMar>
          </w:tcPr>
          <w:p>
            <w:r>
              <w:rPr>
                <w:b/>
                <w:color w:val="1F4D78"/>
              </w:rPr>
              <w:t>Emergency and respite contacts</w:t>
            </w:r>
          </w:p>
        </w:tc>
        <w:tc>
          <w:tcPr>
            <w:tcW w:type="dxa" w:w="6660"/>
            <w:tcMar>
              <w:top w:w="80" w:type="dxa"/>
              <w:bottom w:w="80" w:type="dxa"/>
              <w:start w:w="120" w:type="dxa"/>
              <w:end w:w="120" w:type="dxa"/>
            </w:tcMar>
          </w:tcPr>
          <w:p>
            <w:r>
              <w:t>________________________________________</w:t>
            </w:r>
          </w:p>
        </w:tc>
      </w:tr>
    </w:tbl>
    <w:p>
      <w:pPr>
        <w:pStyle w:val="Heading1"/>
      </w:pPr>
      <w:r>
        <w:t>References</w:t>
      </w:r>
    </w:p>
    <w:p>
      <w:pPr>
        <w:spacing w:after="40" w:line="240" w:lineRule="auto"/>
        <w:ind w:left="288" w:hanging="288"/>
      </w:pPr>
      <w:r>
        <w:t xml:space="preserve">1. Hirota T, King BH. Autism Spectrum Disorder. JAMA. 2023;329:157-168. </w:t>
      </w:r>
      <w:hyperlink r:id="rId11">
        <w:r>
          <w:rPr>
            <w:color w:val="2E74B5"/>
            <w:u w:val="single"/>
          </w:rPr>
          <w:t>Source</w:t>
        </w:r>
      </w:hyperlink>
    </w:p>
    <w:p>
      <w:pPr>
        <w:spacing w:after="40" w:line="240" w:lineRule="auto"/>
        <w:ind w:left="288" w:hanging="288"/>
      </w:pPr>
      <w:r>
        <w:t xml:space="preserve">2. Constantino JN, Charman T. Diagnosis of Autism Spectrum Disorder: Reconciling the Syndrome, Its Diverse Origins, and Variation in Expression. Lancet Neurol. 2016;15:279-291. </w:t>
      </w:r>
      <w:hyperlink r:id="rId12">
        <w:r>
          <w:rPr>
            <w:color w:val="2E74B5"/>
            <w:u w:val="single"/>
          </w:rPr>
          <w:t>Source</w:t>
        </w:r>
      </w:hyperlink>
    </w:p>
    <w:p>
      <w:pPr>
        <w:spacing w:after="40" w:line="240" w:lineRule="auto"/>
        <w:ind w:left="288" w:hanging="288"/>
      </w:pPr>
      <w:r>
        <w:t xml:space="preserve">3. Carbone PS, Stipelman CH, Villalobos ME, et al. Parent-reported severe versus mild/moderate autism among US children. J Dev Behav Pediatr. 2024;45:e422-e430. </w:t>
      </w:r>
      <w:hyperlink r:id="rId13">
        <w:r>
          <w:rPr>
            <w:color w:val="2E74B5"/>
            <w:u w:val="single"/>
          </w:rPr>
          <w:t>Source</w:t>
        </w:r>
      </w:hyperlink>
    </w:p>
    <w:p>
      <w:pPr>
        <w:spacing w:after="40" w:line="240" w:lineRule="auto"/>
        <w:ind w:left="288" w:hanging="288"/>
      </w:pPr>
      <w:r>
        <w:t xml:space="preserve">4. Hyman SL, Levy SE, Myers SM, et al. Identification, Evaluation, and Management of Children With Autism Spectrum Disorder. Pediatrics. 2020;145:e20193447. </w:t>
      </w:r>
      <w:hyperlink r:id="rId14">
        <w:r>
          <w:rPr>
            <w:color w:val="2E74B5"/>
            <w:u w:val="single"/>
          </w:rPr>
          <w:t>Source</w:t>
        </w:r>
      </w:hyperlink>
    </w:p>
    <w:p>
      <w:pPr>
        <w:spacing w:after="40" w:line="240" w:lineRule="auto"/>
        <w:ind w:left="288" w:hanging="288"/>
      </w:pPr>
      <w:r>
        <w:t xml:space="preserve">5. American Psychiatric Association. Diagnostic and Statistical Manual of Mental Disorders, 5th ed., text revision. 2022. </w:t>
      </w:r>
      <w:hyperlink r:id="rId15">
        <w:r>
          <w:rPr>
            <w:color w:val="2E74B5"/>
            <w:u w:val="single"/>
          </w:rPr>
          <w:t>Source</w:t>
        </w:r>
      </w:hyperlink>
    </w:p>
    <w:p>
      <w:pPr>
        <w:spacing w:after="40" w:line="240" w:lineRule="auto"/>
        <w:ind w:left="288" w:hanging="288"/>
      </w:pPr>
      <w:r>
        <w:t xml:space="preserve">6. Lord C, Elsabbagh M, Baird G, Veenstra-Vanderweele J. Autism Spectrum Disorder. Lancet. 2018;392:508-520. </w:t>
      </w:r>
      <w:hyperlink r:id="rId16">
        <w:r>
          <w:rPr>
            <w:color w:val="2E74B5"/>
            <w:u w:val="single"/>
          </w:rPr>
          <w:t>Source</w:t>
        </w:r>
      </w:hyperlink>
    </w:p>
    <w:p>
      <w:pPr>
        <w:spacing w:after="40" w:line="240" w:lineRule="auto"/>
        <w:ind w:left="288" w:hanging="288"/>
      </w:pPr>
      <w:r>
        <w:t xml:space="preserve">7. Peinemann F, Tendal B, Bolte S. Digital serious games for emotional recognition in autism spectrum disorder. Cochrane Database Syst Rev. 2021:CD014673. </w:t>
      </w:r>
      <w:hyperlink r:id="rId17">
        <w:r>
          <w:rPr>
            <w:color w:val="2E74B5"/>
            <w:u w:val="single"/>
          </w:rPr>
          <w:t>Source</w:t>
        </w:r>
      </w:hyperlink>
    </w:p>
    <w:p>
      <w:pPr>
        <w:spacing w:after="40" w:line="240" w:lineRule="auto"/>
        <w:ind w:left="288" w:hanging="288"/>
      </w:pPr>
      <w:r>
        <w:t xml:space="preserve">8. Westby A, Coburn-Pierce M. Autism Spectrum Disorder in Primary Care. Am Fam Physician. 2025;112:301-312. </w:t>
      </w:r>
      <w:hyperlink r:id="rId18">
        <w:r>
          <w:rPr>
            <w:color w:val="2E74B5"/>
            <w:u w:val="single"/>
          </w:rPr>
          <w:t>Source</w:t>
        </w:r>
      </w:hyperlink>
    </w:p>
    <w:p>
      <w:pPr>
        <w:spacing w:after="40" w:line="240" w:lineRule="auto"/>
        <w:ind w:left="288" w:hanging="288"/>
      </w:pPr>
      <w:r>
        <w:t xml:space="preserve">9. Brewster PR, Bari SIM, Walker GM, Werfel TA. Current and Future Directions of Drug Delivery for the Treatment of Mental Illnesses. Adv Drug Deliv Rev. 2023;197:114824. </w:t>
      </w:r>
      <w:hyperlink r:id="rId19">
        <w:r>
          <w:rPr>
            <w:color w:val="2E74B5"/>
            <w:u w:val="single"/>
          </w:rPr>
          <w:t>Source</w:t>
        </w:r>
      </w:hyperlink>
    </w:p>
    <w:p>
      <w:pPr>
        <w:spacing w:after="40" w:line="240" w:lineRule="auto"/>
        <w:ind w:left="288" w:hanging="288"/>
      </w:pPr>
      <w:r>
        <w:t xml:space="preserve">10. Lai MC, Anagnostou E, Wiznitzer M, et al. Evidence-Based Support for Autistic People Across the Lifespan. Lancet Neurol. 2020;19:434-451. </w:t>
      </w:r>
      <w:hyperlink r:id="rId20">
        <w:r>
          <w:rPr>
            <w:color w:val="2E74B5"/>
            <w:u w:val="single"/>
          </w:rPr>
          <w:t>Source</w:t>
        </w:r>
      </w:hyperlink>
    </w:p>
    <w:p>
      <w:pPr>
        <w:spacing w:after="40" w:line="240" w:lineRule="auto"/>
        <w:ind w:left="288" w:hanging="288"/>
      </w:pPr>
      <w:r>
        <w:t xml:space="preserve">11. Salazar de Pablo G, Pastor Jorda C, Vaquerizo-Serrano J, et al. Pharmacological interventions for irritability and emotional dysregulation in autism. JAACAP. 2023;62:151-168. </w:t>
      </w:r>
      <w:hyperlink r:id="rId21">
        <w:r>
          <w:rPr>
            <w:color w:val="2E74B5"/>
            <w:u w:val="single"/>
          </w:rPr>
          <w:t>Source</w:t>
        </w:r>
      </w:hyperlink>
    </w:p>
    <w:p>
      <w:pPr>
        <w:spacing w:after="40" w:line="240" w:lineRule="auto"/>
        <w:ind w:left="288" w:hanging="288"/>
      </w:pPr>
      <w:r>
        <w:t xml:space="preserve">12. Fung LK, Mahajan R, Nozzolillo A, et al. Pharmacologic Treatment of Severe Irritability and Problem Behaviors in Autism. Pediatrics. 2016;137:S124-S135. </w:t>
      </w:r>
      <w:hyperlink r:id="rId22">
        <w:r>
          <w:rPr>
            <w:color w:val="2E74B5"/>
            <w:u w:val="single"/>
          </w:rPr>
          <w:t>Source</w:t>
        </w:r>
      </w:hyperlink>
    </w:p>
    <w:p>
      <w:pPr>
        <w:spacing w:after="40" w:line="240" w:lineRule="auto"/>
        <w:ind w:left="288" w:hanging="288"/>
      </w:pPr>
      <w:r>
        <w:t xml:space="preserve">13. McGuire K, Fung LK, Hagopian L, et al. Irritability and Problem Behavior in Autism: A Practice Pathway. Pediatrics. 2016;137:S136-S148. </w:t>
      </w:r>
      <w:hyperlink r:id="rId23">
        <w:r>
          <w:rPr>
            <w:color w:val="2E74B5"/>
            <w:u w:val="single"/>
          </w:rPr>
          <w:t>Source</w:t>
        </w:r>
      </w:hyperlink>
    </w:p>
    <w:p>
      <w:pPr>
        <w:spacing w:after="40" w:line="240" w:lineRule="auto"/>
        <w:ind w:left="288" w:hanging="288"/>
      </w:pPr>
      <w:r>
        <w:t xml:space="preserve">14. Hua LL; AAP Committee on Adolescence. Collaborative Care in Identification and Management of Psychosis in Adolescents and Young Adults. Pediatrics. 2021;147:e2021051486. </w:t>
      </w:r>
      <w:hyperlink r:id="rId24">
        <w:r>
          <w:rPr>
            <w:color w:val="2E74B5"/>
            <w:u w:val="single"/>
          </w:rPr>
          <w:t>Source</w:t>
        </w:r>
      </w:hyperlink>
    </w:p>
    <w:p>
      <w:pPr>
        <w:spacing w:after="40" w:line="240" w:lineRule="auto"/>
        <w:ind w:left="288" w:hanging="288"/>
      </w:pPr>
      <w:r>
        <w:t xml:space="preserve">15. U.S. Food and Drug Administration. Risperidone prescribing information / regulatory materials. Updated 2026. </w:t>
      </w:r>
      <w:hyperlink r:id="rId25">
        <w:r>
          <w:rPr>
            <w:color w:val="2E74B5"/>
            <w:u w:val="single"/>
          </w:rPr>
          <w:t>Source</w:t>
        </w:r>
      </w:hyperlink>
    </w:p>
    <w:p>
      <w:pPr>
        <w:spacing w:after="40" w:line="240" w:lineRule="auto"/>
        <w:ind w:left="288" w:hanging="288"/>
      </w:pPr>
      <w:r>
        <w:t xml:space="preserve">16. Hermans RA, Ringeling LT, Liang K, et al. SPACe 2: STAR trial protocol: therapeutic drug monitoring of risperidone/aripiprazole and weight gain. BMC Psychiatry. 2022;22:814. </w:t>
      </w:r>
      <w:hyperlink r:id="rId26">
        <w:r>
          <w:rPr>
            <w:color w:val="2E74B5"/>
            <w:u w:val="single"/>
          </w:rPr>
          <w:t>Source</w:t>
        </w:r>
      </w:hyperlink>
    </w:p>
    <w:p>
      <w:pPr>
        <w:spacing w:after="40" w:line="240" w:lineRule="auto"/>
        <w:ind w:left="288" w:hanging="288"/>
      </w:pPr>
      <w:r>
        <w:t xml:space="preserve">17. Vazquez-Bourgon J, Ortiz-Garcia de la Foz V, Gomez-Revuelta M, et al. Long-term metabolic profiles of aripiprazole and risperidone. Int J Neuropsychopharmacol. 2022;25:795-806. </w:t>
      </w:r>
      <w:hyperlink r:id="rId27">
        <w:r>
          <w:rPr>
            <w:color w:val="2E74B5"/>
            <w:u w:val="single"/>
          </w:rPr>
          <w:t>Source</w:t>
        </w:r>
      </w:hyperlink>
    </w:p>
    <w:p>
      <w:pPr>
        <w:spacing w:after="40" w:line="240" w:lineRule="auto"/>
        <w:ind w:left="288" w:hanging="288"/>
      </w:pPr>
      <w:r>
        <w:t xml:space="preserve">18. U.S. Food and Drug Administration. ABILIFY (aripiprazole) prescribing information / regulatory materials. Updated 2025. </w:t>
      </w:r>
      <w:hyperlink r:id="rId28">
        <w:r>
          <w:rPr>
            <w:color w:val="2E74B5"/>
            <w:u w:val="single"/>
          </w:rPr>
          <w:t>Source</w:t>
        </w:r>
      </w:hyperlink>
    </w:p>
    <w:p>
      <w:pPr>
        <w:spacing w:after="40" w:line="240" w:lineRule="auto"/>
        <w:ind w:left="288" w:hanging="288"/>
      </w:pPr>
      <w:r>
        <w:t xml:space="preserve">19. Chun TH, Mace SE, Katz ER, et al. Evaluation and Management of Children With Acute Mental Health or Behavioral Problems, Part II. Pediatrics. 2016;138:e20161573. </w:t>
      </w:r>
      <w:hyperlink r:id="rId29">
        <w:r>
          <w:rPr>
            <w:color w:val="2E74B5"/>
            <w:u w:val="single"/>
          </w:rPr>
          <w:t>Source</w:t>
        </w:r>
      </w:hyperlink>
    </w:p>
    <w:p>
      <w:pPr>
        <w:spacing w:after="40" w:line="240" w:lineRule="auto"/>
        <w:ind w:left="288" w:hanging="288"/>
      </w:pPr>
      <w:r>
        <w:t xml:space="preserve">20. Carbon M, Kapoor S, Sheridan E, et al. Neuromotor Adverse Effects in Youth Treated With Second-Generation Antipsychotics. JAACAP. 2015;54:718-727.e3. </w:t>
      </w:r>
      <w:hyperlink r:id="rId30">
        <w:r>
          <w:rPr>
            <w:color w:val="2E74B5"/>
            <w:u w:val="single"/>
          </w:rPr>
          <w:t>Source</w:t>
        </w:r>
      </w:hyperlink>
    </w:p>
    <w:p>
      <w:pPr>
        <w:spacing w:after="40" w:line="240" w:lineRule="auto"/>
        <w:ind w:left="288" w:hanging="288"/>
      </w:pPr>
      <w:r>
        <w:t xml:space="preserve">21. Martino D, Karnik V, Bhidayasiri R, et al. Scales for Antipsychotic-Associated Movement Disorders. Mov Disord. 2023;38:1008-1026. </w:t>
      </w:r>
      <w:hyperlink r:id="rId31">
        <w:r>
          <w:rPr>
            <w:color w:val="2E74B5"/>
            <w:u w:val="single"/>
          </w:rPr>
          <w:t>Source</w:t>
        </w:r>
      </w:hyperlink>
    </w:p>
    <w:p>
      <w:pPr>
        <w:spacing w:after="40" w:line="240" w:lineRule="auto"/>
        <w:ind w:left="288" w:hanging="288"/>
      </w:pPr>
      <w:r>
        <w:t xml:space="preserve">22. National Institute for Health and Care Excellence. Autism spectrum disorder in adults: diagnosis and management (CG142). </w:t>
      </w:r>
      <w:hyperlink r:id="rId32">
        <w:r>
          <w:rPr>
            <w:color w:val="2E74B5"/>
            <w:u w:val="single"/>
          </w:rPr>
          <w:t>Source</w:t>
        </w:r>
      </w:hyperlink>
    </w:p>
    <w:p>
      <w:pPr>
        <w:spacing w:after="40" w:line="240" w:lineRule="auto"/>
        <w:ind w:left="288" w:hanging="288"/>
      </w:pPr>
      <w:r>
        <w:t xml:space="preserve">23. American Speech-Language-Hearing Association. Augmentative and Alternative Communication Practice Portal. </w:t>
      </w:r>
      <w:hyperlink r:id="rId33">
        <w:r>
          <w:rPr>
            <w:color w:val="2E74B5"/>
            <w:u w:val="single"/>
          </w:rPr>
          <w:t>Source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B7280"/>
        <w:sz w:val="16"/>
      </w:rPr>
      <w:t>HOME CARE GUIDE — SEVERE AUTISM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01/jama.2022.23661" TargetMode="External"/><Relationship Id="rId12" Type="http://schemas.openxmlformats.org/officeDocument/2006/relationships/hyperlink" Target="https://doi.org/10.1016/S1474-4422(15)00151-9" TargetMode="External"/><Relationship Id="rId13" Type="http://schemas.openxmlformats.org/officeDocument/2006/relationships/hyperlink" Target="https://doi.org/10.1097/DBP.0000000000001306" TargetMode="External"/><Relationship Id="rId14" Type="http://schemas.openxmlformats.org/officeDocument/2006/relationships/hyperlink" Target="https://doi.org/10.1542/peds.2019-3447" TargetMode="External"/><Relationship Id="rId15" Type="http://schemas.openxmlformats.org/officeDocument/2006/relationships/hyperlink" Target="https://www.appi.org/products/dsm" TargetMode="External"/><Relationship Id="rId16" Type="http://schemas.openxmlformats.org/officeDocument/2006/relationships/hyperlink" Target="https://doi.org/10.1016/S0140-6736(18)31129-2" TargetMode="External"/><Relationship Id="rId17" Type="http://schemas.openxmlformats.org/officeDocument/2006/relationships/hyperlink" Target="https://doi.org/10.1002/14651858.CD014673" TargetMode="External"/><Relationship Id="rId18" Type="http://schemas.openxmlformats.org/officeDocument/2006/relationships/hyperlink" Target="https://www.aafp.org/pubs/afp/issues/2025/0900/autism-spectrum-disorder.html" TargetMode="External"/><Relationship Id="rId19" Type="http://schemas.openxmlformats.org/officeDocument/2006/relationships/hyperlink" Target="https://doi.org/10.1016/j.addr.2023.114824" TargetMode="External"/><Relationship Id="rId20" Type="http://schemas.openxmlformats.org/officeDocument/2006/relationships/hyperlink" Target="https://doi.org/10.1016/S1474-4422(20)30034-X" TargetMode="External"/><Relationship Id="rId21" Type="http://schemas.openxmlformats.org/officeDocument/2006/relationships/hyperlink" Target="https://doi.org/10.1016/j.jaac.2022.03.033" TargetMode="External"/><Relationship Id="rId22" Type="http://schemas.openxmlformats.org/officeDocument/2006/relationships/hyperlink" Target="https://doi.org/10.1542/peds.2015-2851K" TargetMode="External"/><Relationship Id="rId23" Type="http://schemas.openxmlformats.org/officeDocument/2006/relationships/hyperlink" Target="https://doi.org/10.1542/peds.2015-2851L" TargetMode="External"/><Relationship Id="rId24" Type="http://schemas.openxmlformats.org/officeDocument/2006/relationships/hyperlink" Target="https://doi.org/10.1542/peds.2021-051486" TargetMode="External"/><Relationship Id="rId25" Type="http://schemas.openxmlformats.org/officeDocument/2006/relationships/hyperlink" Target="https://www.accessdata.fda.gov/scripts/cder/daf/" TargetMode="External"/><Relationship Id="rId26" Type="http://schemas.openxmlformats.org/officeDocument/2006/relationships/hyperlink" Target="https://doi.org/10.1186/s12888-022-04445-6" TargetMode="External"/><Relationship Id="rId27" Type="http://schemas.openxmlformats.org/officeDocument/2006/relationships/hyperlink" Target="https://doi.org/10.1093/ijnp/pyac033" TargetMode="External"/><Relationship Id="rId28" Type="http://schemas.openxmlformats.org/officeDocument/2006/relationships/hyperlink" Target="https://www.accessdata.fda.gov/drugsatfda_docs/label/" TargetMode="External"/><Relationship Id="rId29" Type="http://schemas.openxmlformats.org/officeDocument/2006/relationships/hyperlink" Target="https://doi.org/10.1542/peds.2016-1573" TargetMode="External"/><Relationship Id="rId30" Type="http://schemas.openxmlformats.org/officeDocument/2006/relationships/hyperlink" Target="https://doi.org/10.1016/j.jaac.2015.06.015" TargetMode="External"/><Relationship Id="rId31" Type="http://schemas.openxmlformats.org/officeDocument/2006/relationships/hyperlink" Target="https://doi.org/10.1002/mds.29392" TargetMode="External"/><Relationship Id="rId32" Type="http://schemas.openxmlformats.org/officeDocument/2006/relationships/hyperlink" Target="https://www.nice.org.uk/guidance/cg142/chapter/recommendations" TargetMode="External"/><Relationship Id="rId33" Type="http://schemas.openxmlformats.org/officeDocument/2006/relationships/hyperlink" Target="https://www.asha.org/practice-portal/professional-issues/augmentative-and-alternative-commun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