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Severe Autism Clinical Record</w:t>
      </w:r>
    </w:p>
    <w:p>
      <w:pPr>
        <w:pStyle w:val="Subtitle"/>
      </w:pPr>
      <w:r>
        <w:t>Young-adult developmental medicine follow-up • educational case • not a real patient chart</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Important: </w:t>
            </w:r>
            <w:r>
              <w:t>This fictional case is based on the supplied literature. Replace all assumptions with direct observation and prior records. Autism is not ordinarily a degenerative disease; new loss of skills or abrupt behavioral change requires evaluation for medical, neurologic, psychiatric, environmental, communication, or trauma-related causes.</w:t>
            </w:r>
          </w:p>
        </w:tc>
      </w:tr>
    </w:tbl>
    <w:p>
      <w:pPr>
        <w:pStyle w:val="Heading1"/>
      </w:pPr>
      <w:r>
        <w:t>Encounter identification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Patient</w:t>
            </w:r>
          </w:p>
        </w:tc>
        <w:tc>
          <w:tcPr>
            <w:tcW w:type="dxa" w:w="6660"/>
            <w:tcMar>
              <w:top w:w="80" w:type="dxa"/>
              <w:bottom w:w="80" w:type="dxa"/>
              <w:start w:w="120" w:type="dxa"/>
              <w:end w:w="120" w:type="dxa"/>
            </w:tcMar>
          </w:tcPr>
          <w:p>
            <w:r>
              <w:t>Noah Bennett (synthetic case)</w:t>
            </w:r>
          </w:p>
        </w:tc>
      </w:tr>
      <w:tr>
        <w:tc>
          <w:tcPr>
            <w:tcW w:type="dxa" w:w="2700"/>
            <w:shd w:fill="F2F4F7"/>
            <w:tcMar>
              <w:top w:w="80" w:type="dxa"/>
              <w:bottom w:w="80" w:type="dxa"/>
              <w:start w:w="120" w:type="dxa"/>
              <w:end w:w="120" w:type="dxa"/>
            </w:tcMar>
          </w:tcPr>
          <w:p>
            <w:r>
              <w:rPr>
                <w:b/>
                <w:color w:val="1F4D78"/>
              </w:rPr>
              <w:t>Age / sex</w:t>
            </w:r>
          </w:p>
        </w:tc>
        <w:tc>
          <w:tcPr>
            <w:tcW w:type="dxa" w:w="6660"/>
            <w:tcMar>
              <w:top w:w="80" w:type="dxa"/>
              <w:bottom w:w="80" w:type="dxa"/>
              <w:start w:w="120" w:type="dxa"/>
              <w:end w:w="120" w:type="dxa"/>
            </w:tcMar>
          </w:tcPr>
          <w:p>
            <w:r>
              <w:t>20-year-old man</w:t>
            </w:r>
          </w:p>
        </w:tc>
      </w:tr>
      <w:tr>
        <w:tc>
          <w:tcPr>
            <w:tcW w:type="dxa" w:w="2700"/>
            <w:shd w:fill="F2F4F7"/>
            <w:tcMar>
              <w:top w:w="80" w:type="dxa"/>
              <w:bottom w:w="80" w:type="dxa"/>
              <w:start w:w="120" w:type="dxa"/>
              <w:end w:w="120" w:type="dxa"/>
            </w:tcMar>
          </w:tcPr>
          <w:p>
            <w:r>
              <w:rPr>
                <w:b/>
                <w:color w:val="1F4D78"/>
              </w:rPr>
              <w:t>Visit</w:t>
            </w:r>
          </w:p>
        </w:tc>
        <w:tc>
          <w:tcPr>
            <w:tcW w:type="dxa" w:w="6660"/>
            <w:tcMar>
              <w:top w:w="80" w:type="dxa"/>
              <w:bottom w:w="80" w:type="dxa"/>
              <w:start w:w="120" w:type="dxa"/>
              <w:end w:w="120" w:type="dxa"/>
            </w:tcMar>
          </w:tcPr>
          <w:p>
            <w:r>
              <w:t>Transition-age developmental-behavioral follow-up</w:t>
            </w:r>
          </w:p>
        </w:tc>
      </w:tr>
      <w:tr>
        <w:tc>
          <w:tcPr>
            <w:tcW w:type="dxa" w:w="2700"/>
            <w:shd w:fill="F2F4F7"/>
            <w:tcMar>
              <w:top w:w="80" w:type="dxa"/>
              <w:bottom w:w="80" w:type="dxa"/>
              <w:start w:w="120" w:type="dxa"/>
              <w:end w:w="120" w:type="dxa"/>
            </w:tcMar>
          </w:tcPr>
          <w:p>
            <w:r>
              <w:rPr>
                <w:b/>
                <w:color w:val="1F4D78"/>
              </w:rPr>
              <w:t>Informants</w:t>
            </w:r>
          </w:p>
        </w:tc>
        <w:tc>
          <w:tcPr>
            <w:tcW w:type="dxa" w:w="6660"/>
            <w:tcMar>
              <w:top w:w="80" w:type="dxa"/>
              <w:bottom w:w="80" w:type="dxa"/>
              <w:start w:w="120" w:type="dxa"/>
              <w:end w:w="120" w:type="dxa"/>
            </w:tcMar>
          </w:tcPr>
          <w:p>
            <w:r>
              <w:t>Mother/legal guardian and direct-support worker; patient participates using AAC and behavior/gesture</w:t>
            </w:r>
          </w:p>
        </w:tc>
      </w:tr>
      <w:tr>
        <w:tc>
          <w:tcPr>
            <w:tcW w:type="dxa" w:w="2700"/>
            <w:shd w:fill="F2F4F7"/>
            <w:tcMar>
              <w:top w:w="80" w:type="dxa"/>
              <w:bottom w:w="80" w:type="dxa"/>
              <w:start w:w="120" w:type="dxa"/>
              <w:end w:w="120" w:type="dxa"/>
            </w:tcMar>
          </w:tcPr>
          <w:p>
            <w:r>
              <w:rPr>
                <w:b/>
                <w:color w:val="1F4D78"/>
              </w:rPr>
              <w:t>Date / clinician</w:t>
            </w:r>
          </w:p>
        </w:tc>
        <w:tc>
          <w:tcPr>
            <w:tcW w:type="dxa" w:w="6660"/>
            <w:tcMar>
              <w:top w:w="80" w:type="dxa"/>
              <w:bottom w:w="80" w:type="dxa"/>
              <w:start w:w="120" w:type="dxa"/>
              <w:end w:w="120" w:type="dxa"/>
            </w:tcMar>
          </w:tcPr>
          <w:p>
            <w:r>
              <w:t>[Insert date] / [Insert clinician]</w:t>
            </w:r>
          </w:p>
        </w:tc>
      </w:tr>
      <w:tr>
        <w:tc>
          <w:tcPr>
            <w:tcW w:type="dxa" w:w="2700"/>
            <w:shd w:fill="F2F4F7"/>
            <w:tcMar>
              <w:top w:w="80" w:type="dxa"/>
              <w:bottom w:w="80" w:type="dxa"/>
              <w:start w:w="120" w:type="dxa"/>
              <w:end w:w="120" w:type="dxa"/>
            </w:tcMar>
          </w:tcPr>
          <w:p>
            <w:r>
              <w:rPr>
                <w:b/>
                <w:color w:val="1F4D78"/>
              </w:rPr>
              <w:t>Communication access</w:t>
            </w:r>
          </w:p>
        </w:tc>
        <w:tc>
          <w:tcPr>
            <w:tcW w:type="dxa" w:w="6660"/>
            <w:tcMar>
              <w:top w:w="80" w:type="dxa"/>
              <w:bottom w:w="80" w:type="dxa"/>
              <w:start w:w="120" w:type="dxa"/>
              <w:end w:w="120" w:type="dxa"/>
            </w:tcMar>
          </w:tcPr>
          <w:p>
            <w:r>
              <w:t>Tablet speech-generating device plus picture board; allow extra response time</w:t>
            </w:r>
          </w:p>
        </w:tc>
      </w:tr>
      <w:tr>
        <w:tc>
          <w:tcPr>
            <w:tcW w:type="dxa" w:w="2700"/>
            <w:shd w:fill="F2F4F7"/>
            <w:tcMar>
              <w:top w:w="80" w:type="dxa"/>
              <w:bottom w:w="80" w:type="dxa"/>
              <w:start w:w="120" w:type="dxa"/>
              <w:end w:w="120" w:type="dxa"/>
            </w:tcMar>
          </w:tcPr>
          <w:p>
            <w:r>
              <w:rPr>
                <w:b/>
                <w:color w:val="1F4D78"/>
              </w:rPr>
              <w:t>Decision support</w:t>
            </w:r>
          </w:p>
        </w:tc>
        <w:tc>
          <w:tcPr>
            <w:tcW w:type="dxa" w:w="6660"/>
            <w:tcMar>
              <w:top w:w="80" w:type="dxa"/>
              <w:bottom w:w="80" w:type="dxa"/>
              <w:start w:w="120" w:type="dxa"/>
              <w:end w:w="120" w:type="dxa"/>
            </w:tcMar>
          </w:tcPr>
          <w:p>
            <w:r>
              <w:t>Capacity and guardianship scope not supplied—presume competence, seek assent, and use supported decision-making whenever possible</w:t>
            </w:r>
          </w:p>
        </w:tc>
      </w:tr>
    </w:tbl>
    <w:p>
      <w:pPr>
        <w:pStyle w:val="Heading1"/>
      </w:pPr>
      <w:r>
        <w:t>Chief concerns</w:t>
      </w:r>
    </w:p>
    <w:p>
      <w:r>
        <w:t>Review of high support needs, recent increase in self-injury and agitation, sleep disruption, food selectivity/constipation, safe community access, transition services, and monitoring if antipsychotic medication is being used.</w:t>
      </w:r>
    </w:p>
    <w:p>
      <w:pPr>
        <w:pStyle w:val="Heading1"/>
      </w:pPr>
      <w:r>
        <w:t>History of present illness</w:t>
      </w:r>
    </w:p>
    <w:p>
      <w:r>
        <w:t>Noah has an established autism spectrum disorder diagnosis described in prior records as DSM-5-TR Level 3 in both social communication and restricted/repetitive behavior domains. He uses fewer than approximately 10 functional spoken words and relies primarily on AAC, leading gestures, and behavior. He needs direct support for bathing, dressing, medication, meal preparation, money, transportation, appointments, and community safety. Intellectual disability is a synthetic assumption for this case and must be confirmed from adaptive and cognitive testing. Severity levels describe current support need; they are not a validated daily progression score. [1–6,8]</w:t>
      </w:r>
    </w:p>
    <w:p>
      <w:r>
        <w:t>Over six weeks, caregivers report more hand-biting/head-hitting, refusal during grooming, nighttime waking, and reduced AAC requesting. Episodes occur most often with unexpected transitions, loud environments, waiting, toothbrushing, and when he has not passed stool. No true loss of previously mastered motor ability is established. The clinical priority is functional assessment and evaluation for pain, dental disease, constipation, sleep disorder, seizure, medication adverse effects, anxiety, depression/catatonia, environmental mismatch, or abuse—not assuming “worsening autism.” [4,10,13,19,22]</w:t>
      </w:r>
    </w:p>
    <w:p>
      <w:pPr>
        <w:pStyle w:val="Heading1"/>
      </w:pPr>
      <w:r>
        <w:t>Personalized baseline and current function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1700"/>
        <w:gridCol w:w="2800"/>
        <w:gridCol w:w="2150"/>
        <w:gridCol w:w="2710"/>
      </w:tblGrid>
      <w:tr>
        <w:trPr>
          <w:tblHeader w:val="true"/>
        </w:trPr>
        <w:tc>
          <w:tcPr>
            <w:tcW w:type="dxa" w:w="1700"/>
            <w:shd w:fill="E8EEF5"/>
            <w:tcMar>
              <w:top w:w="80" w:type="dxa"/>
              <w:bottom w:w="80" w:type="dxa"/>
              <w:start w:w="120" w:type="dxa"/>
              <w:end w:w="120" w:type="dxa"/>
            </w:tcMar>
          </w:tcPr>
          <w:p>
            <w:r>
              <w:t>Domain</w:t>
            </w:r>
          </w:p>
        </w:tc>
        <w:tc>
          <w:tcPr>
            <w:tcW w:type="dxa" w:w="2800"/>
            <w:shd w:fill="E8EEF5"/>
            <w:tcMar>
              <w:top w:w="80" w:type="dxa"/>
              <w:bottom w:w="80" w:type="dxa"/>
              <w:start w:w="120" w:type="dxa"/>
              <w:end w:w="120" w:type="dxa"/>
            </w:tcMar>
          </w:tcPr>
          <w:p>
            <w:r>
              <w:t>Usual baseline</w:t>
            </w:r>
          </w:p>
        </w:tc>
        <w:tc>
          <w:tcPr>
            <w:tcW w:type="dxa" w:w="2150"/>
            <w:shd w:fill="E8EEF5"/>
            <w:tcMar>
              <w:top w:w="80" w:type="dxa"/>
              <w:bottom w:w="80" w:type="dxa"/>
              <w:start w:w="120" w:type="dxa"/>
              <w:end w:w="120" w:type="dxa"/>
            </w:tcMar>
          </w:tcPr>
          <w:p>
            <w:r>
              <w:t>Recent change</w:t>
            </w:r>
          </w:p>
        </w:tc>
        <w:tc>
          <w:tcPr>
            <w:tcW w:type="dxa" w:w="2710"/>
            <w:shd w:fill="E8EEF5"/>
            <w:tcMar>
              <w:top w:w="80" w:type="dxa"/>
              <w:bottom w:w="80" w:type="dxa"/>
              <w:start w:w="120" w:type="dxa"/>
              <w:end w:w="120" w:type="dxa"/>
            </w:tcMar>
          </w:tcPr>
          <w:p>
            <w:r>
              <w:t>Support / risk</w:t>
            </w:r>
          </w:p>
        </w:tc>
      </w:tr>
      <w:tr>
        <w:trPr>
          <w:cantSplit/>
        </w:trPr>
        <w:tc>
          <w:tcPr>
            <w:tcW w:type="dxa" w:w="1700"/>
            <w:tcMar>
              <w:top w:w="80" w:type="dxa"/>
              <w:bottom w:w="80" w:type="dxa"/>
              <w:start w:w="120" w:type="dxa"/>
              <w:end w:w="120" w:type="dxa"/>
            </w:tcMar>
          </w:tcPr>
          <w:p>
            <w:r>
              <w:t>Communication</w:t>
            </w:r>
          </w:p>
        </w:tc>
        <w:tc>
          <w:tcPr>
            <w:tcW w:type="dxa" w:w="2800"/>
            <w:tcMar>
              <w:top w:w="80" w:type="dxa"/>
              <w:bottom w:w="80" w:type="dxa"/>
              <w:start w:w="120" w:type="dxa"/>
              <w:end w:w="120" w:type="dxa"/>
            </w:tcMar>
          </w:tcPr>
          <w:p>
            <w:r>
              <w:t>AAC requests for food, break, toilet, music; a few spoken words</w:t>
            </w:r>
          </w:p>
        </w:tc>
        <w:tc>
          <w:tcPr>
            <w:tcW w:type="dxa" w:w="2150"/>
            <w:tcMar>
              <w:top w:w="80" w:type="dxa"/>
              <w:bottom w:w="80" w:type="dxa"/>
              <w:start w:w="120" w:type="dxa"/>
              <w:end w:w="120" w:type="dxa"/>
            </w:tcMar>
          </w:tcPr>
          <w:p>
            <w:r>
              <w:t>Fewer spontaneous AAC requests on difficult days</w:t>
            </w:r>
          </w:p>
        </w:tc>
        <w:tc>
          <w:tcPr>
            <w:tcW w:type="dxa" w:w="2710"/>
            <w:tcMar>
              <w:top w:w="80" w:type="dxa"/>
              <w:bottom w:w="80" w:type="dxa"/>
              <w:start w:w="120" w:type="dxa"/>
              <w:end w:w="120" w:type="dxa"/>
            </w:tcMar>
          </w:tcPr>
          <w:p>
            <w:r>
              <w:t>AAC available everywhere; never remove as punishment</w:t>
            </w:r>
          </w:p>
        </w:tc>
      </w:tr>
      <w:tr>
        <w:trPr>
          <w:cantSplit/>
        </w:trPr>
        <w:tc>
          <w:tcPr>
            <w:tcW w:type="dxa" w:w="1700"/>
            <w:tcMar>
              <w:top w:w="80" w:type="dxa"/>
              <w:bottom w:w="80" w:type="dxa"/>
              <w:start w:w="120" w:type="dxa"/>
              <w:end w:w="120" w:type="dxa"/>
            </w:tcMar>
          </w:tcPr>
          <w:p>
            <w:r>
              <w:t>Regulation</w:t>
            </w:r>
          </w:p>
        </w:tc>
        <w:tc>
          <w:tcPr>
            <w:tcW w:type="dxa" w:w="2800"/>
            <w:tcMar>
              <w:top w:w="80" w:type="dxa"/>
              <w:bottom w:w="80" w:type="dxa"/>
              <w:start w:w="120" w:type="dxa"/>
              <w:end w:w="120" w:type="dxa"/>
            </w:tcMar>
          </w:tcPr>
          <w:p>
            <w:r>
              <w:t>Recovers within ~15 minutes in quiet space with visual timer</w:t>
            </w:r>
          </w:p>
        </w:tc>
        <w:tc>
          <w:tcPr>
            <w:tcW w:type="dxa" w:w="2150"/>
            <w:tcMar>
              <w:top w:w="80" w:type="dxa"/>
              <w:bottom w:w="80" w:type="dxa"/>
              <w:start w:w="120" w:type="dxa"/>
              <w:end w:w="120" w:type="dxa"/>
            </w:tcMar>
          </w:tcPr>
          <w:p>
            <w:r>
              <w:t>Episodes longer and hand-biting increased</w:t>
            </w:r>
          </w:p>
        </w:tc>
        <w:tc>
          <w:tcPr>
            <w:tcW w:type="dxa" w:w="2710"/>
            <w:tcMar>
              <w:top w:w="80" w:type="dxa"/>
              <w:bottom w:w="80" w:type="dxa"/>
              <w:start w:w="120" w:type="dxa"/>
              <w:end w:w="120" w:type="dxa"/>
            </w:tcMar>
          </w:tcPr>
          <w:p>
            <w:r>
              <w:t>Protect from injury; record antecedent/behavior/consequence</w:t>
            </w:r>
          </w:p>
        </w:tc>
      </w:tr>
      <w:tr>
        <w:trPr>
          <w:cantSplit/>
        </w:trPr>
        <w:tc>
          <w:tcPr>
            <w:tcW w:type="dxa" w:w="1700"/>
            <w:tcMar>
              <w:top w:w="80" w:type="dxa"/>
              <w:bottom w:w="80" w:type="dxa"/>
              <w:start w:w="120" w:type="dxa"/>
              <w:end w:w="120" w:type="dxa"/>
            </w:tcMar>
          </w:tcPr>
          <w:p>
            <w:r>
              <w:t>Routine/flexibility</w:t>
            </w:r>
          </w:p>
        </w:tc>
        <w:tc>
          <w:tcPr>
            <w:tcW w:type="dxa" w:w="2800"/>
            <w:tcMar>
              <w:top w:w="80" w:type="dxa"/>
              <w:bottom w:w="80" w:type="dxa"/>
              <w:start w:w="120" w:type="dxa"/>
              <w:end w:w="120" w:type="dxa"/>
            </w:tcMar>
          </w:tcPr>
          <w:p>
            <w:r>
              <w:t>Tolerates planned transitions using first-then board</w:t>
            </w:r>
          </w:p>
        </w:tc>
        <w:tc>
          <w:tcPr>
            <w:tcW w:type="dxa" w:w="2150"/>
            <w:tcMar>
              <w:top w:w="80" w:type="dxa"/>
              <w:bottom w:w="80" w:type="dxa"/>
              <w:start w:w="120" w:type="dxa"/>
              <w:end w:w="120" w:type="dxa"/>
            </w:tcMar>
          </w:tcPr>
          <w:p>
            <w:r>
              <w:t>More distress with unexpected change</w:t>
            </w:r>
          </w:p>
        </w:tc>
        <w:tc>
          <w:tcPr>
            <w:tcW w:type="dxa" w:w="2710"/>
            <w:tcMar>
              <w:top w:w="80" w:type="dxa"/>
              <w:bottom w:w="80" w:type="dxa"/>
              <w:start w:w="120" w:type="dxa"/>
              <w:end w:w="120" w:type="dxa"/>
            </w:tcMar>
          </w:tcPr>
          <w:p>
            <w:r>
              <w:t>Preview changes; offer two acceptable choices</w:t>
            </w:r>
          </w:p>
        </w:tc>
      </w:tr>
      <w:tr>
        <w:trPr>
          <w:cantSplit/>
        </w:trPr>
        <w:tc>
          <w:tcPr>
            <w:tcW w:type="dxa" w:w="1700"/>
            <w:tcMar>
              <w:top w:w="80" w:type="dxa"/>
              <w:bottom w:w="80" w:type="dxa"/>
              <w:start w:w="120" w:type="dxa"/>
              <w:end w:w="120" w:type="dxa"/>
            </w:tcMar>
          </w:tcPr>
          <w:p>
            <w:r>
              <w:t>Self-care</w:t>
            </w:r>
          </w:p>
        </w:tc>
        <w:tc>
          <w:tcPr>
            <w:tcW w:type="dxa" w:w="2800"/>
            <w:tcMar>
              <w:top w:w="80" w:type="dxa"/>
              <w:bottom w:w="80" w:type="dxa"/>
              <w:start w:w="120" w:type="dxa"/>
              <w:end w:w="120" w:type="dxa"/>
            </w:tcMar>
          </w:tcPr>
          <w:p>
            <w:r>
              <w:t>Needs stepwise prompting and hands-on help for hygiene/dressing</w:t>
            </w:r>
          </w:p>
        </w:tc>
        <w:tc>
          <w:tcPr>
            <w:tcW w:type="dxa" w:w="2150"/>
            <w:tcMar>
              <w:top w:w="80" w:type="dxa"/>
              <w:bottom w:w="80" w:type="dxa"/>
              <w:start w:w="120" w:type="dxa"/>
              <w:end w:w="120" w:type="dxa"/>
            </w:tcMar>
          </w:tcPr>
          <w:p>
            <w:r>
              <w:t>More refusal with toothbrushing</w:t>
            </w:r>
          </w:p>
        </w:tc>
        <w:tc>
          <w:tcPr>
            <w:tcW w:type="dxa" w:w="2710"/>
            <w:tcMar>
              <w:top w:w="80" w:type="dxa"/>
              <w:bottom w:w="80" w:type="dxa"/>
              <w:start w:w="120" w:type="dxa"/>
              <w:end w:w="120" w:type="dxa"/>
            </w:tcMar>
          </w:tcPr>
          <w:p>
            <w:r>
              <w:t>Assess dental pain/sensory factors</w:t>
            </w:r>
          </w:p>
        </w:tc>
      </w:tr>
      <w:tr>
        <w:trPr>
          <w:cantSplit/>
        </w:trPr>
        <w:tc>
          <w:tcPr>
            <w:tcW w:type="dxa" w:w="1700"/>
            <w:tcMar>
              <w:top w:w="80" w:type="dxa"/>
              <w:bottom w:w="80" w:type="dxa"/>
              <w:start w:w="120" w:type="dxa"/>
              <w:end w:w="120" w:type="dxa"/>
            </w:tcMar>
          </w:tcPr>
          <w:p>
            <w:r>
              <w:t>Eating/GI</w:t>
            </w:r>
          </w:p>
        </w:tc>
        <w:tc>
          <w:tcPr>
            <w:tcW w:type="dxa" w:w="2800"/>
            <w:tcMar>
              <w:top w:w="80" w:type="dxa"/>
              <w:bottom w:w="80" w:type="dxa"/>
              <w:start w:w="120" w:type="dxa"/>
              <w:end w:w="120" w:type="dxa"/>
            </w:tcMar>
          </w:tcPr>
          <w:p>
            <w:r>
              <w:t>Restricted repertoire; eats independently after setup</w:t>
            </w:r>
          </w:p>
        </w:tc>
        <w:tc>
          <w:tcPr>
            <w:tcW w:type="dxa" w:w="2150"/>
            <w:tcMar>
              <w:top w:w="80" w:type="dxa"/>
              <w:bottom w:w="80" w:type="dxa"/>
              <w:start w:w="120" w:type="dxa"/>
              <w:end w:w="120" w:type="dxa"/>
            </w:tcMar>
          </w:tcPr>
          <w:p>
            <w:r>
              <w:t>Lower intake on constipated days</w:t>
            </w:r>
          </w:p>
        </w:tc>
        <w:tc>
          <w:tcPr>
            <w:tcW w:type="dxa" w:w="2710"/>
            <w:tcMar>
              <w:top w:w="80" w:type="dxa"/>
              <w:bottom w:w="80" w:type="dxa"/>
              <w:start w:w="120" w:type="dxa"/>
              <w:end w:w="120" w:type="dxa"/>
            </w:tcMar>
          </w:tcPr>
          <w:p>
            <w:r>
              <w:t>Dietitian/medical review; choking/allergy not reported</w:t>
            </w:r>
          </w:p>
        </w:tc>
      </w:tr>
      <w:tr>
        <w:trPr>
          <w:cantSplit/>
        </w:trPr>
        <w:tc>
          <w:tcPr>
            <w:tcW w:type="dxa" w:w="1700"/>
            <w:tcMar>
              <w:top w:w="80" w:type="dxa"/>
              <w:bottom w:w="80" w:type="dxa"/>
              <w:start w:w="120" w:type="dxa"/>
              <w:end w:w="120" w:type="dxa"/>
            </w:tcMar>
          </w:tcPr>
          <w:p>
            <w:r>
              <w:t>Sleep</w:t>
            </w:r>
          </w:p>
        </w:tc>
        <w:tc>
          <w:tcPr>
            <w:tcW w:type="dxa" w:w="2800"/>
            <w:tcMar>
              <w:top w:w="80" w:type="dxa"/>
              <w:bottom w:w="80" w:type="dxa"/>
              <w:start w:w="120" w:type="dxa"/>
              <w:end w:w="120" w:type="dxa"/>
            </w:tcMar>
          </w:tcPr>
          <w:p>
            <w:r>
              <w:t>Usually 7–8 hours with stable routine</w:t>
            </w:r>
          </w:p>
        </w:tc>
        <w:tc>
          <w:tcPr>
            <w:tcW w:type="dxa" w:w="2150"/>
            <w:tcMar>
              <w:top w:w="80" w:type="dxa"/>
              <w:bottom w:w="80" w:type="dxa"/>
              <w:start w:w="120" w:type="dxa"/>
              <w:end w:w="120" w:type="dxa"/>
            </w:tcMar>
          </w:tcPr>
          <w:p>
            <w:r>
              <w:t>Waking 2–3 nights/week</w:t>
            </w:r>
          </w:p>
        </w:tc>
        <w:tc>
          <w:tcPr>
            <w:tcW w:type="dxa" w:w="2710"/>
            <w:tcMar>
              <w:top w:w="80" w:type="dxa"/>
              <w:bottom w:w="80" w:type="dxa"/>
              <w:start w:w="120" w:type="dxa"/>
              <w:end w:w="120" w:type="dxa"/>
            </w:tcMar>
          </w:tcPr>
          <w:p>
            <w:r>
              <w:t>Sleep log; screen pain, apnea, seizures, medication</w:t>
            </w:r>
          </w:p>
        </w:tc>
      </w:tr>
      <w:tr>
        <w:trPr>
          <w:cantSplit/>
        </w:trPr>
        <w:tc>
          <w:tcPr>
            <w:tcW w:type="dxa" w:w="1700"/>
            <w:tcMar>
              <w:top w:w="80" w:type="dxa"/>
              <w:bottom w:w="80" w:type="dxa"/>
              <w:start w:w="120" w:type="dxa"/>
              <w:end w:w="120" w:type="dxa"/>
            </w:tcMar>
          </w:tcPr>
          <w:p>
            <w:r>
              <w:t>Mobility</w:t>
            </w:r>
          </w:p>
        </w:tc>
        <w:tc>
          <w:tcPr>
            <w:tcW w:type="dxa" w:w="2800"/>
            <w:tcMar>
              <w:top w:w="80" w:type="dxa"/>
              <w:bottom w:w="80" w:type="dxa"/>
              <w:start w:w="120" w:type="dxa"/>
              <w:end w:w="120" w:type="dxa"/>
            </w:tcMar>
          </w:tcPr>
          <w:p>
            <w:r>
              <w:t>Walks independently; toe-walking and poor motor planning</w:t>
            </w:r>
          </w:p>
        </w:tc>
        <w:tc>
          <w:tcPr>
            <w:tcW w:type="dxa" w:w="2150"/>
            <w:tcMar>
              <w:top w:w="80" w:type="dxa"/>
              <w:bottom w:w="80" w:type="dxa"/>
              <w:start w:w="120" w:type="dxa"/>
              <w:end w:w="120" w:type="dxa"/>
            </w:tcMar>
          </w:tcPr>
          <w:p>
            <w:r>
              <w:t>No confirmed decline</w:t>
            </w:r>
          </w:p>
        </w:tc>
        <w:tc>
          <w:tcPr>
            <w:tcW w:type="dxa" w:w="2710"/>
            <w:tcMar>
              <w:top w:w="80" w:type="dxa"/>
              <w:bottom w:w="80" w:type="dxa"/>
              <w:start w:w="120" w:type="dxa"/>
              <w:end w:w="120" w:type="dxa"/>
            </w:tcMar>
          </w:tcPr>
          <w:p>
            <w:r>
              <w:t>PT/OT assessment for function and safety</w:t>
            </w:r>
          </w:p>
        </w:tc>
      </w:tr>
      <w:tr>
        <w:trPr>
          <w:cantSplit/>
        </w:trPr>
        <w:tc>
          <w:tcPr>
            <w:tcW w:type="dxa" w:w="1700"/>
            <w:tcMar>
              <w:top w:w="80" w:type="dxa"/>
              <w:bottom w:w="80" w:type="dxa"/>
              <w:start w:w="120" w:type="dxa"/>
              <w:end w:w="120" w:type="dxa"/>
            </w:tcMar>
          </w:tcPr>
          <w:p>
            <w:r>
              <w:t>Safety</w:t>
            </w:r>
          </w:p>
        </w:tc>
        <w:tc>
          <w:tcPr>
            <w:tcW w:type="dxa" w:w="2800"/>
            <w:tcMar>
              <w:top w:w="80" w:type="dxa"/>
              <w:bottom w:w="80" w:type="dxa"/>
              <w:start w:w="120" w:type="dxa"/>
              <w:end w:w="120" w:type="dxa"/>
            </w:tcMar>
          </w:tcPr>
          <w:p>
            <w:r>
              <w:t>No independent street/water access; history of elopement attempt</w:t>
            </w:r>
          </w:p>
        </w:tc>
        <w:tc>
          <w:tcPr>
            <w:tcW w:type="dxa" w:w="2150"/>
            <w:tcMar>
              <w:top w:w="80" w:type="dxa"/>
              <w:bottom w:w="80" w:type="dxa"/>
              <w:start w:w="120" w:type="dxa"/>
              <w:end w:w="120" w:type="dxa"/>
            </w:tcMar>
          </w:tcPr>
          <w:p>
            <w:r>
              <w:t>No recent elopement</w:t>
            </w:r>
          </w:p>
        </w:tc>
        <w:tc>
          <w:tcPr>
            <w:tcW w:type="dxa" w:w="2710"/>
            <w:tcMar>
              <w:top w:w="80" w:type="dxa"/>
              <w:bottom w:w="80" w:type="dxa"/>
              <w:start w:w="120" w:type="dxa"/>
              <w:end w:w="120" w:type="dxa"/>
            </w:tcMar>
          </w:tcPr>
          <w:p>
            <w:r>
              <w:t>ID, door/community plan, close supervision</w:t>
            </w:r>
          </w:p>
        </w:tc>
      </w:tr>
    </w:tbl>
    <w:p>
      <w:pPr>
        <w:pStyle w:val="Heading1"/>
      </w:pPr>
      <w:r>
        <w:t>History requiring reconciliation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Diagnoses</w:t>
            </w:r>
          </w:p>
        </w:tc>
        <w:tc>
          <w:tcPr>
            <w:tcW w:type="dxa" w:w="6660"/>
            <w:tcMar>
              <w:top w:w="80" w:type="dxa"/>
              <w:bottom w:w="80" w:type="dxa"/>
              <w:start w:w="120" w:type="dxa"/>
              <w:end w:w="120" w:type="dxa"/>
            </w:tcMar>
          </w:tcPr>
          <w:p>
            <w:r>
              <w:t>Autism spectrum disorder; intellectual disability and other diagnoses not documented in source</w:t>
            </w:r>
          </w:p>
        </w:tc>
      </w:tr>
      <w:tr>
        <w:tc>
          <w:tcPr>
            <w:tcW w:type="dxa" w:w="2700"/>
            <w:shd w:fill="F2F4F7"/>
            <w:tcMar>
              <w:top w:w="80" w:type="dxa"/>
              <w:bottom w:w="80" w:type="dxa"/>
              <w:start w:w="120" w:type="dxa"/>
              <w:end w:w="120" w:type="dxa"/>
            </w:tcMar>
          </w:tcPr>
          <w:p>
            <w:r>
              <w:rPr>
                <w:b/>
                <w:color w:val="1F4D78"/>
              </w:rPr>
              <w:t>Seizures / regression</w:t>
            </w:r>
          </w:p>
        </w:tc>
        <w:tc>
          <w:tcPr>
            <w:tcW w:type="dxa" w:w="6660"/>
            <w:tcMar>
              <w:top w:w="80" w:type="dxa"/>
              <w:bottom w:w="80" w:type="dxa"/>
              <w:start w:w="120" w:type="dxa"/>
              <w:end w:w="120" w:type="dxa"/>
            </w:tcMar>
          </w:tcPr>
          <w:p>
            <w:r>
              <w:t>History not supplied—ask about staring, nocturnal events, post-event sleepiness and any true skill loss</w:t>
            </w:r>
          </w:p>
        </w:tc>
      </w:tr>
      <w:tr>
        <w:tc>
          <w:tcPr>
            <w:tcW w:type="dxa" w:w="2700"/>
            <w:shd w:fill="F2F4F7"/>
            <w:tcMar>
              <w:top w:w="80" w:type="dxa"/>
              <w:bottom w:w="80" w:type="dxa"/>
              <w:start w:w="120" w:type="dxa"/>
              <w:end w:w="120" w:type="dxa"/>
            </w:tcMar>
          </w:tcPr>
          <w:p>
            <w:r>
              <w:rPr>
                <w:b/>
                <w:color w:val="1F4D78"/>
              </w:rPr>
              <w:t>GI / feeding</w:t>
            </w:r>
          </w:p>
        </w:tc>
        <w:tc>
          <w:tcPr>
            <w:tcW w:type="dxa" w:w="6660"/>
            <w:tcMar>
              <w:top w:w="80" w:type="dxa"/>
              <w:bottom w:w="80" w:type="dxa"/>
              <w:start w:w="120" w:type="dxa"/>
              <w:end w:w="120" w:type="dxa"/>
            </w:tcMar>
          </w:tcPr>
          <w:p>
            <w:r>
              <w:t>Synthetic: constipation and food selectivity; confirm stool pattern, reflux, pica, choking, allergies and growth/weight</w:t>
            </w:r>
          </w:p>
        </w:tc>
      </w:tr>
      <w:tr>
        <w:tc>
          <w:tcPr>
            <w:tcW w:type="dxa" w:w="2700"/>
            <w:shd w:fill="F2F4F7"/>
            <w:tcMar>
              <w:top w:w="80" w:type="dxa"/>
              <w:bottom w:w="80" w:type="dxa"/>
              <w:start w:w="120" w:type="dxa"/>
              <w:end w:w="120" w:type="dxa"/>
            </w:tcMar>
          </w:tcPr>
          <w:p>
            <w:r>
              <w:rPr>
                <w:b/>
                <w:color w:val="1F4D78"/>
              </w:rPr>
              <w:t>Sleep</w:t>
            </w:r>
          </w:p>
        </w:tc>
        <w:tc>
          <w:tcPr>
            <w:tcW w:type="dxa" w:w="6660"/>
            <w:tcMar>
              <w:top w:w="80" w:type="dxa"/>
              <w:bottom w:w="80" w:type="dxa"/>
              <w:start w:w="120" w:type="dxa"/>
              <w:end w:w="120" w:type="dxa"/>
            </w:tcMar>
          </w:tcPr>
          <w:p>
            <w:r>
              <w:t>Synthetic: night waking; confirm schedule, snoring/apnea, restless legs, seizures and caffeine</w:t>
            </w:r>
          </w:p>
        </w:tc>
      </w:tr>
      <w:tr>
        <w:tc>
          <w:tcPr>
            <w:tcW w:type="dxa" w:w="2700"/>
            <w:shd w:fill="F2F4F7"/>
            <w:tcMar>
              <w:top w:w="80" w:type="dxa"/>
              <w:bottom w:w="80" w:type="dxa"/>
              <w:start w:w="120" w:type="dxa"/>
              <w:end w:w="120" w:type="dxa"/>
            </w:tcMar>
          </w:tcPr>
          <w:p>
            <w:r>
              <w:rPr>
                <w:b/>
                <w:color w:val="1F4D78"/>
              </w:rPr>
              <w:t>Psychiatric</w:t>
            </w:r>
          </w:p>
        </w:tc>
        <w:tc>
          <w:tcPr>
            <w:tcW w:type="dxa" w:w="6660"/>
            <w:tcMar>
              <w:top w:w="80" w:type="dxa"/>
              <w:bottom w:w="80" w:type="dxa"/>
              <w:start w:w="120" w:type="dxa"/>
              <w:end w:w="120" w:type="dxa"/>
            </w:tcMar>
          </w:tcPr>
          <w:p>
            <w:r>
              <w:t>Assess anxiety, depression, catatonia, ADHD, trauma and psychosis using adapted/collateral methods</w:t>
            </w:r>
          </w:p>
        </w:tc>
      </w:tr>
      <w:tr>
        <w:tc>
          <w:tcPr>
            <w:tcW w:type="dxa" w:w="2700"/>
            <w:shd w:fill="F2F4F7"/>
            <w:tcMar>
              <w:top w:w="80" w:type="dxa"/>
              <w:bottom w:w="80" w:type="dxa"/>
              <w:start w:w="120" w:type="dxa"/>
              <w:end w:w="120" w:type="dxa"/>
            </w:tcMar>
          </w:tcPr>
          <w:p>
            <w:r>
              <w:rPr>
                <w:b/>
                <w:color w:val="1F4D78"/>
              </w:rPr>
              <w:t>Medications</w:t>
            </w:r>
          </w:p>
        </w:tc>
        <w:tc>
          <w:tcPr>
            <w:tcW w:type="dxa" w:w="6660"/>
            <w:tcMar>
              <w:top w:w="80" w:type="dxa"/>
              <w:bottom w:w="80" w:type="dxa"/>
              <w:start w:w="120" w:type="dxa"/>
              <w:end w:w="120" w:type="dxa"/>
            </w:tcMar>
          </w:tcPr>
          <w:p>
            <w:r>
              <w:t>Not supplied—reconcile all prescriptions, PRNs, OTCs, supplements, adherence, target symptoms and prior trials</w:t>
            </w:r>
          </w:p>
        </w:tc>
      </w:tr>
      <w:tr>
        <w:tc>
          <w:tcPr>
            <w:tcW w:type="dxa" w:w="2700"/>
            <w:shd w:fill="F2F4F7"/>
            <w:tcMar>
              <w:top w:w="80" w:type="dxa"/>
              <w:bottom w:w="80" w:type="dxa"/>
              <w:start w:w="120" w:type="dxa"/>
              <w:end w:w="120" w:type="dxa"/>
            </w:tcMar>
          </w:tcPr>
          <w:p>
            <w:r>
              <w:rPr>
                <w:b/>
                <w:color w:val="1F4D78"/>
              </w:rPr>
              <w:t>Allergies</w:t>
            </w:r>
          </w:p>
        </w:tc>
        <w:tc>
          <w:tcPr>
            <w:tcW w:type="dxa" w:w="6660"/>
            <w:tcMar>
              <w:top w:w="80" w:type="dxa"/>
              <w:bottom w:w="80" w:type="dxa"/>
              <w:start w:w="120" w:type="dxa"/>
              <w:end w:w="120" w:type="dxa"/>
            </w:tcMar>
          </w:tcPr>
          <w:p>
            <w:r>
              <w:t>Not supplied—confirm</w:t>
            </w:r>
          </w:p>
        </w:tc>
      </w:tr>
      <w:tr>
        <w:tc>
          <w:tcPr>
            <w:tcW w:type="dxa" w:w="2700"/>
            <w:shd w:fill="F2F4F7"/>
            <w:tcMar>
              <w:top w:w="80" w:type="dxa"/>
              <w:bottom w:w="80" w:type="dxa"/>
              <w:start w:w="120" w:type="dxa"/>
              <w:end w:w="120" w:type="dxa"/>
            </w:tcMar>
          </w:tcPr>
          <w:p>
            <w:r>
              <w:rPr>
                <w:b/>
                <w:color w:val="1F4D78"/>
              </w:rPr>
              <w:t>Education/services</w:t>
            </w:r>
          </w:p>
        </w:tc>
        <w:tc>
          <w:tcPr>
            <w:tcW w:type="dxa" w:w="6660"/>
            <w:tcMar>
              <w:top w:w="80" w:type="dxa"/>
              <w:bottom w:w="80" w:type="dxa"/>
              <w:start w:w="120" w:type="dxa"/>
              <w:end w:w="120" w:type="dxa"/>
            </w:tcMar>
          </w:tcPr>
          <w:p>
            <w:r>
              <w:t>Transition program, waiver, vocational/respite, SLP/AAC, OT, PT and behavioral services not supplied</w:t>
            </w:r>
          </w:p>
        </w:tc>
      </w:tr>
    </w:tbl>
    <w:p>
      <w:pPr>
        <w:pStyle w:val="Heading1"/>
      </w:pPr>
      <w:r>
        <w:t>Review of systems and examination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Documentation boundary: </w:t>
            </w:r>
            <w:r>
              <w:t>No actual vital signs or examination were supplied. Use a sensory-informed exam, offer AAC/visual preview, explain each step, minimize waiting, and accept staged examination when safe.</w:t>
            </w:r>
          </w:p>
        </w:tc>
      </w:tr>
    </w:tbl>
    <w:p>
      <w:pPr>
        <w:pStyle w:val="ListBullet"/>
      </w:pPr>
      <w:r>
        <w:t>Record weight, height/BMI, waist circumference when indicated, BP, pulse, temperature and sleep/intake/stool trends.</w:t>
      </w:r>
    </w:p>
    <w:p>
      <w:pPr>
        <w:pStyle w:val="ListBullet"/>
      </w:pPr>
      <w:r>
        <w:t>Inspect teeth/mouth, ears, skin, abdomen and musculoskeletal system; assess pain, injury, infection, constipation and medication effects.</w:t>
      </w:r>
    </w:p>
    <w:p>
      <w:pPr>
        <w:pStyle w:val="ListBullet"/>
      </w:pPr>
      <w:r>
        <w:t>Neurologic exam should address gait, tone, strength, coordination, abnormal movements and seizure clues.</w:t>
      </w:r>
    </w:p>
    <w:p>
      <w:pPr>
        <w:pStyle w:val="ListBullet"/>
      </w:pPr>
      <w:r>
        <w:t>Mental-status/adaptive assessment should document communication method, assent/refusal, affect, arousal, self-injury/aggression, catatonic signs and change from baseline—not equate lack of speech with lack of understanding.</w:t>
      </w:r>
    </w:p>
    <w:p>
      <w:pPr>
        <w:pStyle w:val="Heading1"/>
      </w:pPr>
      <w:r>
        <w:t>Assessment</w:t>
      </w:r>
    </w:p>
    <w:p>
      <w:pPr>
        <w:pStyle w:val="ListBullet"/>
      </w:pPr>
      <w:r>
        <w:t>Autism spectrum disorder with very substantial support needs (historically Level 3), minimally verbal, with marked rigidity/sensory differences and high adaptive dependence.</w:t>
      </w:r>
    </w:p>
    <w:p>
      <w:pPr>
        <w:pStyle w:val="ListBullet"/>
      </w:pPr>
      <w:r>
        <w:t>Increase in self-injury/irritability: behavior is a symptom requiring functional and medical assessment; possible dental pain, constipation, sleep disturbance, communication breakdown and transition stress.</w:t>
      </w:r>
    </w:p>
    <w:p>
      <w:pPr>
        <w:pStyle w:val="ListBullet"/>
      </w:pPr>
      <w:r>
        <w:t>Possible co-occurring intellectual disability; verify standardized cognitive and adaptive assessment rather than infer solely from language.</w:t>
      </w:r>
    </w:p>
    <w:p>
      <w:pPr>
        <w:pStyle w:val="ListBullet"/>
      </w:pPr>
      <w:r>
        <w:t>Food selectivity and possible constipation; risk of nutritional inadequacy or GI discomfort requires individualized review.</w:t>
      </w:r>
    </w:p>
    <w:p>
      <w:pPr>
        <w:pStyle w:val="ListBullet"/>
      </w:pPr>
      <w:r>
        <w:t>Sleep-maintenance difficulty; evaluate routine, environment, medical contributors and medication effects.</w:t>
      </w:r>
    </w:p>
    <w:p>
      <w:pPr>
        <w:pStyle w:val="ListBullet"/>
      </w:pPr>
      <w:r>
        <w:t>Motor-planning/toe-walking concerns without proven functional decline; PT/OT evaluation based on goals.</w:t>
      </w:r>
    </w:p>
    <w:p>
      <w:pPr>
        <w:pStyle w:val="ListBullet"/>
      </w:pPr>
      <w:r>
        <w:t>Elopement, traffic, water, poisoning and caregiver-strain risks.</w:t>
      </w:r>
    </w:p>
    <w:p>
      <w:pPr>
        <w:pStyle w:val="Heading1"/>
      </w:pPr>
      <w:r>
        <w:t>Plan for clinician and care team</w:t>
      </w:r>
    </w:p>
    <w:p>
      <w:pPr>
        <w:pStyle w:val="ListBullet"/>
      </w:pPr>
      <w:r>
        <w:t>Create one operational care plan across home/day program: functional communication goals, visual structure, predictable transitions, sensory/environmental accommodations, reinforcement, crisis prevention and data-defined target behaviors. [1,4,10,13,22]</w:t>
      </w:r>
    </w:p>
    <w:p>
      <w:pPr>
        <w:pStyle w:val="ListBullet"/>
      </w:pPr>
      <w:r>
        <w:t>Request SLP/AAC reassessment; ensure robust vocabulary for pain, body parts, emotions, help, stop, break, toilet and consent. Train all partners and keep low-tech backup available. AAC does not need to be earned and should not be removed. [4,10,23]</w:t>
      </w:r>
    </w:p>
    <w:p>
      <w:pPr>
        <w:pStyle w:val="ListBullet"/>
      </w:pPr>
      <w:r>
        <w:t>Conduct functional behavior assessment while investigating pain, dental/GI problems, sleep, seizures, psychiatric conditions, medication effects and environmental demands. Use positive, least-restrictive, trauma-informed supports.</w:t>
      </w:r>
    </w:p>
    <w:p>
      <w:pPr>
        <w:pStyle w:val="ListBullet"/>
      </w:pPr>
      <w:r>
        <w:t>Refer OT for self-care/sensory/environment fit and PT for gait, strength, balance, flexibility, endurance, equipment and a caregiver-taught home program when a functional need exists.</w:t>
      </w:r>
    </w:p>
    <w:p>
      <w:pPr>
        <w:pStyle w:val="ListBullet"/>
      </w:pPr>
      <w:r>
        <w:t>Dietitian/feeding-team review for restricted intake, growth/weight, micronutrient risk and safe expansion. Do not prescribe gluten-free/casein-free or other exclusion diets for core autism features without a separate medical indication and nutritional oversight. [4,22]</w:t>
      </w:r>
    </w:p>
    <w:p>
      <w:pPr>
        <w:pStyle w:val="ListBullet"/>
      </w:pPr>
      <w:r>
        <w:t>Medication treats defined co-occurring targets, not core autism. Before starting/changing, define target, baseline frequency/severity, expected benefit, time-limited review and stop criteria. Risperidone/aripiprazole evidence and approvals concern pediatric irritability; adult use/continuation requires individualized prescriber judgment. [11–13,15,18]</w:t>
      </w:r>
    </w:p>
    <w:p>
      <w:pPr>
        <w:pStyle w:val="ListBullet"/>
      </w:pPr>
      <w:r>
        <w:t>If an antipsychotic is used: record baseline and serial weight/BMI, BP, glucose/HbA1c, lipids, movement exam and adverse effects; consider waist, prolactin or ECG based on symptoms/risk. Monitoring schedule is prescriber-specific. [15–21]</w:t>
      </w:r>
    </w:p>
    <w:p>
      <w:pPr>
        <w:pStyle w:val="ListBullet"/>
      </w:pPr>
      <w:r>
        <w:t>Review transition-age supports: primary care, developmental specialist/psychiatry, dentistry with accommodations, neurology if indicated, supported decision-making/guardianship, benefits/waivers, vocational/day services, respite and emergency plan.</w:t>
      </w:r>
    </w:p>
    <w:p>
      <w:pPr>
        <w:pStyle w:val="Heading1"/>
      </w:pPr>
      <w:r>
        <w:t>Urgent escalation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DECEC"/>
          </w:tcPr>
          <w:p>
            <w:r>
              <w:rPr>
                <w:rFonts w:ascii="Calibri" w:hAnsi="Calibri"/>
                <w:b/>
                <w:color w:val="9B1C1C"/>
                <w:sz w:val="22"/>
              </w:rPr>
              <w:t xml:space="preserve">Emergency now: </w:t>
            </w:r>
            <w:r>
              <w:t>call emergency services for severe injury/bleeding, breathing difficulty, suspected poisoning, prolonged seizure, loss of consciousness, dangerous elopement, weapon access, or imminent risk that cannot be safely contained. Tell responders the person is autistic, minimally verbal, and uses AAC.</w:t>
            </w:r>
          </w:p>
        </w:tc>
      </w:tr>
    </w:tbl>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Prompt clinical contact: </w:t>
            </w:r>
            <w:r>
              <w:t>true loss of skills, new weakness/gait change, repeated staring or nocturnal events, sudden marked behavior change, fever, dental swelling, persistent vomiting, abdominal distension, no stool with distress, refusal of fluids, medication error, new abnormal movements, severe sedation, or caregiver inability to maintain safety.</w:t>
            </w:r>
          </w:p>
        </w:tc>
      </w:tr>
    </w:tbl>
    <w:p>
      <w:pPr>
        <w:pStyle w:val="Heading1"/>
      </w:pPr>
      <w:r>
        <w:t>Orders / follow-up placeholders</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Medication target and monitoring</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AAC / SLP plan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Behavior-support referral</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OT / PT / feeding referrals</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Labs / dental / neurologic evaluation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Crisis and elopement plan reviewed</w:t>
            </w:r>
          </w:p>
        </w:tc>
        <w:tc>
          <w:tcPr>
            <w:tcW w:type="dxa" w:w="6660"/>
            <w:tcMar>
              <w:top w:w="80" w:type="dxa"/>
              <w:bottom w:w="80" w:type="dxa"/>
              <w:start w:w="120" w:type="dxa"/>
              <w:end w:w="120" w:type="dxa"/>
            </w:tcMar>
          </w:tcPr>
          <w:p>
            <w:r>
              <w:t>Yes ☐  No ☐</w:t>
            </w:r>
          </w:p>
        </w:tc>
      </w:tr>
      <w:tr>
        <w:tc>
          <w:tcPr>
            <w:tcW w:type="dxa" w:w="2700"/>
            <w:shd w:fill="F2F4F7"/>
            <w:tcMar>
              <w:top w:w="80" w:type="dxa"/>
              <w:bottom w:w="80" w:type="dxa"/>
              <w:start w:w="120" w:type="dxa"/>
              <w:end w:w="120" w:type="dxa"/>
            </w:tcMar>
          </w:tcPr>
          <w:p>
            <w:r>
              <w:rPr>
                <w:b/>
                <w:color w:val="1F4D78"/>
              </w:rPr>
              <w:t>Follow-up</w:t>
            </w:r>
          </w:p>
        </w:tc>
        <w:tc>
          <w:tcPr>
            <w:tcW w:type="dxa" w:w="6660"/>
            <w:tcMar>
              <w:top w:w="80" w:type="dxa"/>
              <w:bottom w:w="80" w:type="dxa"/>
              <w:start w:w="120" w:type="dxa"/>
              <w:end w:w="120" w:type="dxa"/>
            </w:tcMar>
          </w:tcPr>
          <w:p>
            <w:r>
              <w:t>________________________________________</w:t>
            </w:r>
          </w:p>
        </w:tc>
      </w:tr>
    </w:tbl>
    <w:p>
      <w:pPr>
        <w:pStyle w:val="Heading1"/>
      </w:pPr>
      <w:r>
        <w:t>References</w:t>
      </w:r>
    </w:p>
    <w:p>
      <w:pPr>
        <w:spacing w:after="40" w:line="240" w:lineRule="auto"/>
        <w:ind w:left="288" w:hanging="288"/>
      </w:pPr>
      <w:r>
        <w:t xml:space="preserve">1. Hirota T, King BH. Autism Spectrum Disorder. JAMA. 2023;329:157-168. </w:t>
      </w:r>
      <w:hyperlink r:id="rId11">
        <w:r>
          <w:rPr>
            <w:color w:val="2E74B5"/>
            <w:u w:val="single"/>
          </w:rPr>
          <w:t>Source</w:t>
        </w:r>
      </w:hyperlink>
    </w:p>
    <w:p>
      <w:pPr>
        <w:spacing w:after="40" w:line="240" w:lineRule="auto"/>
        <w:ind w:left="288" w:hanging="288"/>
      </w:pPr>
      <w:r>
        <w:t xml:space="preserve">2. Constantino JN, Charman T. Diagnosis of Autism Spectrum Disorder: Reconciling the Syndrome, Its Diverse Origins, and Variation in Expression. Lancet Neurol. 2016;15:279-291. </w:t>
      </w:r>
      <w:hyperlink r:id="rId12">
        <w:r>
          <w:rPr>
            <w:color w:val="2E74B5"/>
            <w:u w:val="single"/>
          </w:rPr>
          <w:t>Source</w:t>
        </w:r>
      </w:hyperlink>
    </w:p>
    <w:p>
      <w:pPr>
        <w:spacing w:after="40" w:line="240" w:lineRule="auto"/>
        <w:ind w:left="288" w:hanging="288"/>
      </w:pPr>
      <w:r>
        <w:t xml:space="preserve">3. Carbone PS, Stipelman CH, Villalobos ME, et al. Parent-reported severe versus mild/moderate autism among US children. J Dev Behav Pediatr. 2024;45:e422-e430. </w:t>
      </w:r>
      <w:hyperlink r:id="rId13">
        <w:r>
          <w:rPr>
            <w:color w:val="2E74B5"/>
            <w:u w:val="single"/>
          </w:rPr>
          <w:t>Source</w:t>
        </w:r>
      </w:hyperlink>
    </w:p>
    <w:p>
      <w:pPr>
        <w:spacing w:after="40" w:line="240" w:lineRule="auto"/>
        <w:ind w:left="288" w:hanging="288"/>
      </w:pPr>
      <w:r>
        <w:t xml:space="preserve">4. Hyman SL, Levy SE, Myers SM, et al. Identification, Evaluation, and Management of Children With Autism Spectrum Disorder. Pediatrics. 2020;145:e20193447. </w:t>
      </w:r>
      <w:hyperlink r:id="rId14">
        <w:r>
          <w:rPr>
            <w:color w:val="2E74B5"/>
            <w:u w:val="single"/>
          </w:rPr>
          <w:t>Source</w:t>
        </w:r>
      </w:hyperlink>
    </w:p>
    <w:p>
      <w:pPr>
        <w:spacing w:after="40" w:line="240" w:lineRule="auto"/>
        <w:ind w:left="288" w:hanging="288"/>
      </w:pPr>
      <w:r>
        <w:t xml:space="preserve">5. American Psychiatric Association. Diagnostic and Statistical Manual of Mental Disorders, 5th ed., text revision. 2022. </w:t>
      </w:r>
      <w:hyperlink r:id="rId15">
        <w:r>
          <w:rPr>
            <w:color w:val="2E74B5"/>
            <w:u w:val="single"/>
          </w:rPr>
          <w:t>Source</w:t>
        </w:r>
      </w:hyperlink>
    </w:p>
    <w:p>
      <w:pPr>
        <w:spacing w:after="40" w:line="240" w:lineRule="auto"/>
        <w:ind w:left="288" w:hanging="288"/>
      </w:pPr>
      <w:r>
        <w:t xml:space="preserve">6. Lord C, Elsabbagh M, Baird G, Veenstra-Vanderweele J. Autism Spectrum Disorder. Lancet. 2018;392:508-520. </w:t>
      </w:r>
      <w:hyperlink r:id="rId16">
        <w:r>
          <w:rPr>
            <w:color w:val="2E74B5"/>
            <w:u w:val="single"/>
          </w:rPr>
          <w:t>Source</w:t>
        </w:r>
      </w:hyperlink>
    </w:p>
    <w:p>
      <w:pPr>
        <w:spacing w:after="40" w:line="240" w:lineRule="auto"/>
        <w:ind w:left="288" w:hanging="288"/>
      </w:pPr>
      <w:r>
        <w:t xml:space="preserve">7. Peinemann F, Tendal B, Bolte S. Digital serious games for emotional recognition in autism spectrum disorder. Cochrane Database Syst Rev. 2021:CD014673. </w:t>
      </w:r>
      <w:hyperlink r:id="rId17">
        <w:r>
          <w:rPr>
            <w:color w:val="2E74B5"/>
            <w:u w:val="single"/>
          </w:rPr>
          <w:t>Source</w:t>
        </w:r>
      </w:hyperlink>
    </w:p>
    <w:p>
      <w:pPr>
        <w:spacing w:after="40" w:line="240" w:lineRule="auto"/>
        <w:ind w:left="288" w:hanging="288"/>
      </w:pPr>
      <w:r>
        <w:t xml:space="preserve">8. Westby A, Coburn-Pierce M. Autism Spectrum Disorder in Primary Care. Am Fam Physician. 2025;112:301-312. </w:t>
      </w:r>
      <w:hyperlink r:id="rId18">
        <w:r>
          <w:rPr>
            <w:color w:val="2E74B5"/>
            <w:u w:val="single"/>
          </w:rPr>
          <w:t>Source</w:t>
        </w:r>
      </w:hyperlink>
    </w:p>
    <w:p>
      <w:pPr>
        <w:spacing w:after="40" w:line="240" w:lineRule="auto"/>
        <w:ind w:left="288" w:hanging="288"/>
      </w:pPr>
      <w:r>
        <w:t xml:space="preserve">9. Brewster PR, Bari SIM, Walker GM, Werfel TA. Current and Future Directions of Drug Delivery for the Treatment of Mental Illnesses. Adv Drug Deliv Rev. 2023;197:114824. </w:t>
      </w:r>
      <w:hyperlink r:id="rId19">
        <w:r>
          <w:rPr>
            <w:color w:val="2E74B5"/>
            <w:u w:val="single"/>
          </w:rPr>
          <w:t>Source</w:t>
        </w:r>
      </w:hyperlink>
    </w:p>
    <w:p>
      <w:pPr>
        <w:spacing w:after="40" w:line="240" w:lineRule="auto"/>
        <w:ind w:left="288" w:hanging="288"/>
      </w:pPr>
      <w:r>
        <w:t xml:space="preserve">10. Lai MC, Anagnostou E, Wiznitzer M, et al. Evidence-Based Support for Autistic People Across the Lifespan. Lancet Neurol. 2020;19:434-451. </w:t>
      </w:r>
      <w:hyperlink r:id="rId20">
        <w:r>
          <w:rPr>
            <w:color w:val="2E74B5"/>
            <w:u w:val="single"/>
          </w:rPr>
          <w:t>Source</w:t>
        </w:r>
      </w:hyperlink>
    </w:p>
    <w:p>
      <w:pPr>
        <w:spacing w:after="40" w:line="240" w:lineRule="auto"/>
        <w:ind w:left="288" w:hanging="288"/>
      </w:pPr>
      <w:r>
        <w:t xml:space="preserve">11. Salazar de Pablo G, Pastor Jorda C, Vaquerizo-Serrano J, et al. Pharmacological interventions for irritability and emotional dysregulation in autism. JAACAP. 2023;62:151-168. </w:t>
      </w:r>
      <w:hyperlink r:id="rId21">
        <w:r>
          <w:rPr>
            <w:color w:val="2E74B5"/>
            <w:u w:val="single"/>
          </w:rPr>
          <w:t>Source</w:t>
        </w:r>
      </w:hyperlink>
    </w:p>
    <w:p>
      <w:pPr>
        <w:spacing w:after="40" w:line="240" w:lineRule="auto"/>
        <w:ind w:left="288" w:hanging="288"/>
      </w:pPr>
      <w:r>
        <w:t xml:space="preserve">12. Fung LK, Mahajan R, Nozzolillo A, et al. Pharmacologic Treatment of Severe Irritability and Problem Behaviors in Autism. Pediatrics. 2016;137:S124-S135. </w:t>
      </w:r>
      <w:hyperlink r:id="rId22">
        <w:r>
          <w:rPr>
            <w:color w:val="2E74B5"/>
            <w:u w:val="single"/>
          </w:rPr>
          <w:t>Source</w:t>
        </w:r>
      </w:hyperlink>
    </w:p>
    <w:p>
      <w:pPr>
        <w:spacing w:after="40" w:line="240" w:lineRule="auto"/>
        <w:ind w:left="288" w:hanging="288"/>
      </w:pPr>
      <w:r>
        <w:t xml:space="preserve">13. McGuire K, Fung LK, Hagopian L, et al. Irritability and Problem Behavior in Autism: A Practice Pathway. Pediatrics. 2016;137:S136-S148. </w:t>
      </w:r>
      <w:hyperlink r:id="rId23">
        <w:r>
          <w:rPr>
            <w:color w:val="2E74B5"/>
            <w:u w:val="single"/>
          </w:rPr>
          <w:t>Source</w:t>
        </w:r>
      </w:hyperlink>
    </w:p>
    <w:p>
      <w:pPr>
        <w:spacing w:after="40" w:line="240" w:lineRule="auto"/>
        <w:ind w:left="288" w:hanging="288"/>
      </w:pPr>
      <w:r>
        <w:t xml:space="preserve">14. Hua LL; AAP Committee on Adolescence. Collaborative Care in Identification and Management of Psychosis in Adolescents and Young Adults. Pediatrics. 2021;147:e2021051486. </w:t>
      </w:r>
      <w:hyperlink r:id="rId24">
        <w:r>
          <w:rPr>
            <w:color w:val="2E74B5"/>
            <w:u w:val="single"/>
          </w:rPr>
          <w:t>Source</w:t>
        </w:r>
      </w:hyperlink>
    </w:p>
    <w:p>
      <w:pPr>
        <w:spacing w:after="40" w:line="240" w:lineRule="auto"/>
        <w:ind w:left="288" w:hanging="288"/>
      </w:pPr>
      <w:r>
        <w:t xml:space="preserve">15. U.S. Food and Drug Administration. Risperidone prescribing information / regulatory materials. Updated 2026. </w:t>
      </w:r>
      <w:hyperlink r:id="rId25">
        <w:r>
          <w:rPr>
            <w:color w:val="2E74B5"/>
            <w:u w:val="single"/>
          </w:rPr>
          <w:t>Source</w:t>
        </w:r>
      </w:hyperlink>
    </w:p>
    <w:p>
      <w:pPr>
        <w:spacing w:after="40" w:line="240" w:lineRule="auto"/>
        <w:ind w:left="288" w:hanging="288"/>
      </w:pPr>
      <w:r>
        <w:t xml:space="preserve">16. Hermans RA, Ringeling LT, Liang K, et al. SPACe 2: STAR trial protocol: therapeutic drug monitoring of risperidone/aripiprazole and weight gain. BMC Psychiatry. 2022;22:814. </w:t>
      </w:r>
      <w:hyperlink r:id="rId26">
        <w:r>
          <w:rPr>
            <w:color w:val="2E74B5"/>
            <w:u w:val="single"/>
          </w:rPr>
          <w:t>Source</w:t>
        </w:r>
      </w:hyperlink>
    </w:p>
    <w:p>
      <w:pPr>
        <w:spacing w:after="40" w:line="240" w:lineRule="auto"/>
        <w:ind w:left="288" w:hanging="288"/>
      </w:pPr>
      <w:r>
        <w:t xml:space="preserve">17. Vazquez-Bourgon J, Ortiz-Garcia de la Foz V, Gomez-Revuelta M, et al. Long-term metabolic profiles of aripiprazole and risperidone. Int J Neuropsychopharmacol. 2022;25:795-806. </w:t>
      </w:r>
      <w:hyperlink r:id="rId27">
        <w:r>
          <w:rPr>
            <w:color w:val="2E74B5"/>
            <w:u w:val="single"/>
          </w:rPr>
          <w:t>Source</w:t>
        </w:r>
      </w:hyperlink>
    </w:p>
    <w:p>
      <w:pPr>
        <w:spacing w:after="40" w:line="240" w:lineRule="auto"/>
        <w:ind w:left="288" w:hanging="288"/>
      </w:pPr>
      <w:r>
        <w:t xml:space="preserve">18. U.S. Food and Drug Administration. ABILIFY (aripiprazole) prescribing information / regulatory materials. Updated 2025. </w:t>
      </w:r>
      <w:hyperlink r:id="rId28">
        <w:r>
          <w:rPr>
            <w:color w:val="2E74B5"/>
            <w:u w:val="single"/>
          </w:rPr>
          <w:t>Source</w:t>
        </w:r>
      </w:hyperlink>
    </w:p>
    <w:p>
      <w:pPr>
        <w:spacing w:after="40" w:line="240" w:lineRule="auto"/>
        <w:ind w:left="288" w:hanging="288"/>
      </w:pPr>
      <w:r>
        <w:t xml:space="preserve">19. Chun TH, Mace SE, Katz ER, et al. Evaluation and Management of Children With Acute Mental Health or Behavioral Problems, Part II. Pediatrics. 2016;138:e20161573. </w:t>
      </w:r>
      <w:hyperlink r:id="rId29">
        <w:r>
          <w:rPr>
            <w:color w:val="2E74B5"/>
            <w:u w:val="single"/>
          </w:rPr>
          <w:t>Source</w:t>
        </w:r>
      </w:hyperlink>
    </w:p>
    <w:p>
      <w:pPr>
        <w:spacing w:after="40" w:line="240" w:lineRule="auto"/>
        <w:ind w:left="288" w:hanging="288"/>
      </w:pPr>
      <w:r>
        <w:t xml:space="preserve">20. Carbon M, Kapoor S, Sheridan E, et al. Neuromotor Adverse Effects in Youth Treated With Second-Generation Antipsychotics. JAACAP. 2015;54:718-727.e3. </w:t>
      </w:r>
      <w:hyperlink r:id="rId30">
        <w:r>
          <w:rPr>
            <w:color w:val="2E74B5"/>
            <w:u w:val="single"/>
          </w:rPr>
          <w:t>Source</w:t>
        </w:r>
      </w:hyperlink>
    </w:p>
    <w:p>
      <w:pPr>
        <w:spacing w:after="40" w:line="240" w:lineRule="auto"/>
        <w:ind w:left="288" w:hanging="288"/>
      </w:pPr>
      <w:r>
        <w:t xml:space="preserve">21. Martino D, Karnik V, Bhidayasiri R, et al. Scales for Antipsychotic-Associated Movement Disorders. Mov Disord. 2023;38:1008-1026. </w:t>
      </w:r>
      <w:hyperlink r:id="rId31">
        <w:r>
          <w:rPr>
            <w:color w:val="2E74B5"/>
            <w:u w:val="single"/>
          </w:rPr>
          <w:t>Source</w:t>
        </w:r>
      </w:hyperlink>
    </w:p>
    <w:p>
      <w:pPr>
        <w:spacing w:after="40" w:line="240" w:lineRule="auto"/>
        <w:ind w:left="288" w:hanging="288"/>
      </w:pPr>
      <w:r>
        <w:t xml:space="preserve">22. National Institute for Health and Care Excellence. Autism spectrum disorder in adults: diagnosis and management (CG142). </w:t>
      </w:r>
      <w:hyperlink r:id="rId32">
        <w:r>
          <w:rPr>
            <w:color w:val="2E74B5"/>
            <w:u w:val="single"/>
          </w:rPr>
          <w:t>Source</w:t>
        </w:r>
      </w:hyperlink>
    </w:p>
    <w:p>
      <w:pPr>
        <w:spacing w:after="40" w:line="240" w:lineRule="auto"/>
        <w:ind w:left="288" w:hanging="288"/>
      </w:pPr>
      <w:r>
        <w:t xml:space="preserve">23. American Speech-Language-Hearing Association. Augmentative and Alternative Communication Practice Portal. </w:t>
      </w:r>
      <w:hyperlink r:id="rId33">
        <w:r>
          <w:rPr>
            <w:color w:val="2E74B5"/>
            <w:u w:val="single"/>
          </w:rPr>
          <w:t>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6"/>
      </w:rPr>
      <w:t>SYNTHETIC SEVERE AUTISM CLINICAL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01/jama.2022.23661" TargetMode="External"/><Relationship Id="rId12" Type="http://schemas.openxmlformats.org/officeDocument/2006/relationships/hyperlink" Target="https://doi.org/10.1016/S1474-4422(15)00151-9" TargetMode="External"/><Relationship Id="rId13" Type="http://schemas.openxmlformats.org/officeDocument/2006/relationships/hyperlink" Target="https://doi.org/10.1097/DBP.0000000000001306" TargetMode="External"/><Relationship Id="rId14" Type="http://schemas.openxmlformats.org/officeDocument/2006/relationships/hyperlink" Target="https://doi.org/10.1542/peds.2019-3447" TargetMode="External"/><Relationship Id="rId15" Type="http://schemas.openxmlformats.org/officeDocument/2006/relationships/hyperlink" Target="https://www.appi.org/products/dsm" TargetMode="External"/><Relationship Id="rId16" Type="http://schemas.openxmlformats.org/officeDocument/2006/relationships/hyperlink" Target="https://doi.org/10.1016/S0140-6736(18)31129-2" TargetMode="External"/><Relationship Id="rId17" Type="http://schemas.openxmlformats.org/officeDocument/2006/relationships/hyperlink" Target="https://doi.org/10.1002/14651858.CD014673" TargetMode="External"/><Relationship Id="rId18" Type="http://schemas.openxmlformats.org/officeDocument/2006/relationships/hyperlink" Target="https://www.aafp.org/pubs/afp/issues/2025/0900/autism-spectrum-disorder.html" TargetMode="External"/><Relationship Id="rId19" Type="http://schemas.openxmlformats.org/officeDocument/2006/relationships/hyperlink" Target="https://doi.org/10.1016/j.addr.2023.114824" TargetMode="External"/><Relationship Id="rId20" Type="http://schemas.openxmlformats.org/officeDocument/2006/relationships/hyperlink" Target="https://doi.org/10.1016/S1474-4422(20)30034-X" TargetMode="External"/><Relationship Id="rId21" Type="http://schemas.openxmlformats.org/officeDocument/2006/relationships/hyperlink" Target="https://doi.org/10.1016/j.jaac.2022.03.033" TargetMode="External"/><Relationship Id="rId22" Type="http://schemas.openxmlformats.org/officeDocument/2006/relationships/hyperlink" Target="https://doi.org/10.1542/peds.2015-2851K" TargetMode="External"/><Relationship Id="rId23" Type="http://schemas.openxmlformats.org/officeDocument/2006/relationships/hyperlink" Target="https://doi.org/10.1542/peds.2015-2851L" TargetMode="External"/><Relationship Id="rId24" Type="http://schemas.openxmlformats.org/officeDocument/2006/relationships/hyperlink" Target="https://doi.org/10.1542/peds.2021-051486" TargetMode="External"/><Relationship Id="rId25" Type="http://schemas.openxmlformats.org/officeDocument/2006/relationships/hyperlink" Target="https://www.accessdata.fda.gov/scripts/cder/daf/" TargetMode="External"/><Relationship Id="rId26" Type="http://schemas.openxmlformats.org/officeDocument/2006/relationships/hyperlink" Target="https://doi.org/10.1186/s12888-022-04445-6" TargetMode="External"/><Relationship Id="rId27" Type="http://schemas.openxmlformats.org/officeDocument/2006/relationships/hyperlink" Target="https://doi.org/10.1093/ijnp/pyac033" TargetMode="External"/><Relationship Id="rId28" Type="http://schemas.openxmlformats.org/officeDocument/2006/relationships/hyperlink" Target="https://www.accessdata.fda.gov/drugsatfda_docs/label/" TargetMode="External"/><Relationship Id="rId29" Type="http://schemas.openxmlformats.org/officeDocument/2006/relationships/hyperlink" Target="https://doi.org/10.1542/peds.2016-1573" TargetMode="External"/><Relationship Id="rId30" Type="http://schemas.openxmlformats.org/officeDocument/2006/relationships/hyperlink" Target="https://doi.org/10.1016/j.jaac.2015.06.015" TargetMode="External"/><Relationship Id="rId31" Type="http://schemas.openxmlformats.org/officeDocument/2006/relationships/hyperlink" Target="https://doi.org/10.1002/mds.29392" TargetMode="External"/><Relationship Id="rId32" Type="http://schemas.openxmlformats.org/officeDocument/2006/relationships/hyperlink" Target="https://www.nice.org.uk/guidance/cg142/chapter/recommendations" TargetMode="External"/><Relationship Id="rId33" Type="http://schemas.openxmlformats.org/officeDocument/2006/relationships/hyperlink" Target="https://www.asha.org/practice-portal/professional-issues/augmentative-and-alternative-commun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