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Alzheimer's Disease Clinical Record</w:t>
      </w:r>
    </w:p>
    <w:p>
      <w:pPr>
        <w:pStyle w:val="Subtitle"/>
      </w:pPr>
      <w:r>
        <w:t>Educational case portfolio • outpatient cognitive-neurology follow-up • not a real patient chart</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Important: </w:t>
            </w:r>
            <w:r>
              <w:t>This is a fictional, educational record inferred from the supplied literature summary. It must not be used as a real diagnosis, prescription, or substitute for evaluation by a licensed clinician.</w:t>
            </w:r>
          </w:p>
        </w:tc>
      </w:tr>
    </w:tbl>
    <w:p>
      <w:pPr>
        <w:pStyle w:val="Heading1"/>
      </w:pPr>
      <w:r>
        <w:t>Encounter identification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Patient</w:t>
            </w:r>
          </w:p>
        </w:tc>
        <w:tc>
          <w:tcPr>
            <w:tcW w:type="dxa" w:w="6660"/>
            <w:tcMar>
              <w:top w:w="80" w:type="dxa"/>
              <w:bottom w:w="80" w:type="dxa"/>
              <w:start w:w="120" w:type="dxa"/>
              <w:end w:w="120" w:type="dxa"/>
            </w:tcMar>
          </w:tcPr>
          <w:p>
            <w:r>
              <w:t>Eleanor Carter (synthetic case)</w:t>
            </w:r>
          </w:p>
        </w:tc>
      </w:tr>
      <w:tr>
        <w:tc>
          <w:tcPr>
            <w:tcW w:type="dxa" w:w="2700"/>
            <w:shd w:fill="F2F4F7"/>
            <w:tcMar>
              <w:top w:w="80" w:type="dxa"/>
              <w:bottom w:w="80" w:type="dxa"/>
              <w:start w:w="120" w:type="dxa"/>
              <w:end w:w="120" w:type="dxa"/>
            </w:tcMar>
          </w:tcPr>
          <w:p>
            <w:r>
              <w:rPr>
                <w:b/>
                <w:color w:val="1F4D78"/>
              </w:rPr>
              <w:t>Age / sex</w:t>
            </w:r>
          </w:p>
        </w:tc>
        <w:tc>
          <w:tcPr>
            <w:tcW w:type="dxa" w:w="6660"/>
            <w:tcMar>
              <w:top w:w="80" w:type="dxa"/>
              <w:bottom w:w="80" w:type="dxa"/>
              <w:start w:w="120" w:type="dxa"/>
              <w:end w:w="120" w:type="dxa"/>
            </w:tcMar>
          </w:tcPr>
          <w:p>
            <w:r>
              <w:t>72-year-old woman</w:t>
            </w:r>
          </w:p>
        </w:tc>
      </w:tr>
      <w:tr>
        <w:tc>
          <w:tcPr>
            <w:tcW w:type="dxa" w:w="2700"/>
            <w:shd w:fill="F2F4F7"/>
            <w:tcMar>
              <w:top w:w="80" w:type="dxa"/>
              <w:bottom w:w="80" w:type="dxa"/>
              <w:start w:w="120" w:type="dxa"/>
              <w:end w:w="120" w:type="dxa"/>
            </w:tcMar>
          </w:tcPr>
          <w:p>
            <w:r>
              <w:rPr>
                <w:b/>
                <w:color w:val="1F4D78"/>
              </w:rPr>
              <w:t>Visit type</w:t>
            </w:r>
          </w:p>
        </w:tc>
        <w:tc>
          <w:tcPr>
            <w:tcW w:type="dxa" w:w="6660"/>
            <w:tcMar>
              <w:top w:w="80" w:type="dxa"/>
              <w:bottom w:w="80" w:type="dxa"/>
              <w:start w:w="120" w:type="dxa"/>
              <w:end w:w="120" w:type="dxa"/>
            </w:tcMar>
          </w:tcPr>
          <w:p>
            <w:r>
              <w:t>Follow-up for progressive cognitive and functional decline</w:t>
            </w:r>
          </w:p>
        </w:tc>
      </w:tr>
      <w:tr>
        <w:tc>
          <w:tcPr>
            <w:tcW w:type="dxa" w:w="2700"/>
            <w:shd w:fill="F2F4F7"/>
            <w:tcMar>
              <w:top w:w="80" w:type="dxa"/>
              <w:bottom w:w="80" w:type="dxa"/>
              <w:start w:w="120" w:type="dxa"/>
              <w:end w:w="120" w:type="dxa"/>
            </w:tcMar>
          </w:tcPr>
          <w:p>
            <w:r>
              <w:rPr>
                <w:b/>
                <w:color w:val="1F4D78"/>
              </w:rPr>
              <w:t>Informants</w:t>
            </w:r>
          </w:p>
        </w:tc>
        <w:tc>
          <w:tcPr>
            <w:tcW w:type="dxa" w:w="6660"/>
            <w:tcMar>
              <w:top w:w="80" w:type="dxa"/>
              <w:bottom w:w="80" w:type="dxa"/>
              <w:start w:w="120" w:type="dxa"/>
              <w:end w:w="120" w:type="dxa"/>
            </w:tcMar>
          </w:tcPr>
          <w:p>
            <w:r>
              <w:t>Patient and daughter/caregiver; collateral history considered essential</w:t>
            </w:r>
          </w:p>
        </w:tc>
      </w:tr>
      <w:tr>
        <w:tc>
          <w:tcPr>
            <w:tcW w:type="dxa" w:w="2700"/>
            <w:shd w:fill="F2F4F7"/>
            <w:tcMar>
              <w:top w:w="80" w:type="dxa"/>
              <w:bottom w:w="80" w:type="dxa"/>
              <w:start w:w="120" w:type="dxa"/>
              <w:end w:w="120" w:type="dxa"/>
            </w:tcMar>
          </w:tcPr>
          <w:p>
            <w:r>
              <w:rPr>
                <w:b/>
                <w:color w:val="1F4D78"/>
              </w:rPr>
              <w:t>Date / clinician</w:t>
            </w:r>
          </w:p>
        </w:tc>
        <w:tc>
          <w:tcPr>
            <w:tcW w:type="dxa" w:w="6660"/>
            <w:tcMar>
              <w:top w:w="80" w:type="dxa"/>
              <w:bottom w:w="80" w:type="dxa"/>
              <w:start w:w="120" w:type="dxa"/>
              <w:end w:w="120" w:type="dxa"/>
            </w:tcMar>
          </w:tcPr>
          <w:p>
            <w:r>
              <w:t>[Insert visit date] / [Insert clinician]</w:t>
            </w:r>
          </w:p>
        </w:tc>
      </w:tr>
      <w:tr>
        <w:tc>
          <w:tcPr>
            <w:tcW w:type="dxa" w:w="2700"/>
            <w:shd w:fill="F2F4F7"/>
            <w:tcMar>
              <w:top w:w="80" w:type="dxa"/>
              <w:bottom w:w="80" w:type="dxa"/>
              <w:start w:w="120" w:type="dxa"/>
              <w:end w:w="120" w:type="dxa"/>
            </w:tcMar>
          </w:tcPr>
          <w:p>
            <w:r>
              <w:rPr>
                <w:b/>
                <w:color w:val="1F4D78"/>
              </w:rPr>
              <w:t>Reliability</w:t>
            </w:r>
          </w:p>
        </w:tc>
        <w:tc>
          <w:tcPr>
            <w:tcW w:type="dxa" w:w="6660"/>
            <w:tcMar>
              <w:top w:w="80" w:type="dxa"/>
              <w:bottom w:w="80" w:type="dxa"/>
              <w:start w:w="120" w:type="dxa"/>
              <w:end w:w="120" w:type="dxa"/>
            </w:tcMar>
          </w:tcPr>
          <w:p>
            <w:r>
              <w:t>Patient history limited by impaired recent recall; caregiver history judged more reliable</w:t>
            </w:r>
          </w:p>
        </w:tc>
      </w:tr>
    </w:tbl>
    <w:p>
      <w:pPr>
        <w:pStyle w:val="Heading1"/>
      </w:pPr>
      <w:r>
        <w:t>Chief concern</w:t>
      </w:r>
    </w:p>
    <w:p>
      <w:r>
        <w:t>“Memory and day-to-day independence have worsened over the past 9–12 months.” Caregiver reports increasingly frequent repetition, missed medications without supervision, difficulty managing bills and appointments, word-finding pauses, and two episodes of becoming disoriented on familiar routes.</w:t>
      </w:r>
    </w:p>
    <w:p>
      <w:pPr>
        <w:pStyle w:val="Heading1"/>
      </w:pPr>
      <w:r>
        <w:t>History of present illness</w:t>
      </w:r>
    </w:p>
    <w:p>
      <w:r>
        <w:t>The patient has an established diagnosis of probable early-stage Alzheimer's disease and now shows ongoing decline consistent with transition from mild toward moderate dementia. Episodic memory remains the dominant deficit: she forgets recent conversations and meals, repeats questions within 10–20 minutes, and misplaces common objects. Deficits have spread to language, navigation, executive function, and time orientation, which is expected as Alzheimer pathology affects broader temporal, parietal, and frontal networks. [1–3]</w:t>
      </w:r>
    </w:p>
    <w:p>
      <w:r>
        <w:t>Functional change is the clearest marker of progression. She no longer independently manages finances, medications, transportation, or appointments. Basic self-care is mostly preserved, but she now needs prompting to select weather-appropriate clothing and complete bathing steps. This IADL-to-early-BADL crossover supports movement from CDR 1 toward CDR 2 / FAST 4 toward 5, pending formal clinician-administered staging. [2,7–10]</w:t>
      </w:r>
    </w:p>
    <w:p>
      <w:r>
        <w:t>Behaviorally, the caregiver notes apathy, anxiety when routines change, evening irritability, and fragmented sleep. No hallucinations, fixed delusions, physical aggression, seizure-like activity, myoclonus, or parkinsonian symptoms are reported today. Mood and behavioral symptoms should be tracked because they commonly become more prominent during progression. [1,2,4]</w:t>
      </w:r>
    </w:p>
    <w:p>
      <w:pPr>
        <w:pStyle w:val="Heading1"/>
      </w:pPr>
      <w:r>
        <w:t>Current function and safety</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700"/>
        <w:gridCol w:w="2700"/>
        <w:gridCol w:w="2200"/>
        <w:gridCol w:w="2760"/>
      </w:tblGrid>
      <w:tr>
        <w:trPr>
          <w:tblHeader w:val="true"/>
        </w:trPr>
        <w:tc>
          <w:tcPr>
            <w:tcW w:type="dxa" w:w="1700"/>
            <w:shd w:fill="E8EEF5"/>
            <w:tcMar>
              <w:top w:w="80" w:type="dxa"/>
              <w:bottom w:w="80" w:type="dxa"/>
              <w:start w:w="120" w:type="dxa"/>
              <w:end w:w="120" w:type="dxa"/>
            </w:tcMar>
          </w:tcPr>
          <w:p>
            <w:r>
              <w:t>Domain</w:t>
            </w:r>
          </w:p>
        </w:tc>
        <w:tc>
          <w:tcPr>
            <w:tcW w:type="dxa" w:w="2700"/>
            <w:shd w:fill="E8EEF5"/>
            <w:tcMar>
              <w:top w:w="80" w:type="dxa"/>
              <w:bottom w:w="80" w:type="dxa"/>
              <w:start w:w="120" w:type="dxa"/>
              <w:end w:w="120" w:type="dxa"/>
            </w:tcMar>
          </w:tcPr>
          <w:p>
            <w:r>
              <w:t>Current status</w:t>
            </w:r>
          </w:p>
        </w:tc>
        <w:tc>
          <w:tcPr>
            <w:tcW w:type="dxa" w:w="2200"/>
            <w:shd w:fill="E8EEF5"/>
            <w:tcMar>
              <w:top w:w="80" w:type="dxa"/>
              <w:bottom w:w="80" w:type="dxa"/>
              <w:start w:w="120" w:type="dxa"/>
              <w:end w:w="120" w:type="dxa"/>
            </w:tcMar>
          </w:tcPr>
          <w:p>
            <w:r>
              <w:t>Change from prior baseline</w:t>
            </w:r>
          </w:p>
        </w:tc>
        <w:tc>
          <w:tcPr>
            <w:tcW w:type="dxa" w:w="2760"/>
            <w:shd w:fill="E8EEF5"/>
            <w:tcMar>
              <w:top w:w="80" w:type="dxa"/>
              <w:bottom w:w="80" w:type="dxa"/>
              <w:start w:w="120" w:type="dxa"/>
              <w:end w:w="120" w:type="dxa"/>
            </w:tcMar>
          </w:tcPr>
          <w:p>
            <w:r>
              <w:t>Risk / support</w:t>
            </w:r>
          </w:p>
        </w:tc>
      </w:tr>
      <w:tr>
        <w:trPr>
          <w:cantSplit/>
        </w:trPr>
        <w:tc>
          <w:tcPr>
            <w:tcW w:type="dxa" w:w="1700"/>
            <w:tcMar>
              <w:top w:w="80" w:type="dxa"/>
              <w:bottom w:w="80" w:type="dxa"/>
              <w:start w:w="120" w:type="dxa"/>
              <w:end w:w="120" w:type="dxa"/>
            </w:tcMar>
          </w:tcPr>
          <w:p>
            <w:r>
              <w:t>Medications</w:t>
            </w:r>
          </w:p>
        </w:tc>
        <w:tc>
          <w:tcPr>
            <w:tcW w:type="dxa" w:w="2700"/>
            <w:tcMar>
              <w:top w:w="80" w:type="dxa"/>
              <w:bottom w:w="80" w:type="dxa"/>
              <w:start w:w="120" w:type="dxa"/>
              <w:end w:w="120" w:type="dxa"/>
            </w:tcMar>
          </w:tcPr>
          <w:p>
            <w:r>
              <w:t>Requires pillbox setup and direct confirmation</w:t>
            </w:r>
          </w:p>
        </w:tc>
        <w:tc>
          <w:tcPr>
            <w:tcW w:type="dxa" w:w="2200"/>
            <w:tcMar>
              <w:top w:w="80" w:type="dxa"/>
              <w:bottom w:w="80" w:type="dxa"/>
              <w:start w:w="120" w:type="dxa"/>
              <w:end w:w="120" w:type="dxa"/>
            </w:tcMar>
          </w:tcPr>
          <w:p>
            <w:r>
              <w:t>Previously used reminders only</w:t>
            </w:r>
          </w:p>
        </w:tc>
        <w:tc>
          <w:tcPr>
            <w:tcW w:type="dxa" w:w="2760"/>
            <w:tcMar>
              <w:top w:w="80" w:type="dxa"/>
              <w:bottom w:w="80" w:type="dxa"/>
              <w:start w:w="120" w:type="dxa"/>
              <w:end w:w="120" w:type="dxa"/>
            </w:tcMar>
          </w:tcPr>
          <w:p>
            <w:r>
              <w:t>High risk for missed/double doses; caregiver administers</w:t>
            </w:r>
          </w:p>
        </w:tc>
      </w:tr>
      <w:tr>
        <w:trPr>
          <w:cantSplit/>
        </w:trPr>
        <w:tc>
          <w:tcPr>
            <w:tcW w:type="dxa" w:w="1700"/>
            <w:tcMar>
              <w:top w:w="80" w:type="dxa"/>
              <w:bottom w:w="80" w:type="dxa"/>
              <w:start w:w="120" w:type="dxa"/>
              <w:end w:w="120" w:type="dxa"/>
            </w:tcMar>
          </w:tcPr>
          <w:p>
            <w:r>
              <w:t>Finances</w:t>
            </w:r>
          </w:p>
        </w:tc>
        <w:tc>
          <w:tcPr>
            <w:tcW w:type="dxa" w:w="2700"/>
            <w:tcMar>
              <w:top w:w="80" w:type="dxa"/>
              <w:bottom w:w="80" w:type="dxa"/>
              <w:start w:w="120" w:type="dxa"/>
              <w:end w:w="120" w:type="dxa"/>
            </w:tcMar>
          </w:tcPr>
          <w:p>
            <w:r>
              <w:t>Unable to reconcile bills; duplicate payment occurred</w:t>
            </w:r>
          </w:p>
        </w:tc>
        <w:tc>
          <w:tcPr>
            <w:tcW w:type="dxa" w:w="2200"/>
            <w:tcMar>
              <w:top w:w="80" w:type="dxa"/>
              <w:bottom w:w="80" w:type="dxa"/>
              <w:start w:w="120" w:type="dxa"/>
              <w:end w:w="120" w:type="dxa"/>
            </w:tcMar>
          </w:tcPr>
          <w:p>
            <w:r>
              <w:t>Previously independent</w:t>
            </w:r>
          </w:p>
        </w:tc>
        <w:tc>
          <w:tcPr>
            <w:tcW w:type="dxa" w:w="2760"/>
            <w:tcMar>
              <w:top w:w="80" w:type="dxa"/>
              <w:bottom w:w="80" w:type="dxa"/>
              <w:start w:w="120" w:type="dxa"/>
              <w:end w:w="120" w:type="dxa"/>
            </w:tcMar>
          </w:tcPr>
          <w:p>
            <w:r>
              <w:t>Caregiver manages accounts; fraud safeguards advised</w:t>
            </w:r>
          </w:p>
        </w:tc>
      </w:tr>
      <w:tr>
        <w:trPr>
          <w:cantSplit/>
        </w:trPr>
        <w:tc>
          <w:tcPr>
            <w:tcW w:type="dxa" w:w="1700"/>
            <w:tcMar>
              <w:top w:w="80" w:type="dxa"/>
              <w:bottom w:w="80" w:type="dxa"/>
              <w:start w:w="120" w:type="dxa"/>
              <w:end w:w="120" w:type="dxa"/>
            </w:tcMar>
          </w:tcPr>
          <w:p>
            <w:r>
              <w:t>Driving/navigation</w:t>
            </w:r>
          </w:p>
        </w:tc>
        <w:tc>
          <w:tcPr>
            <w:tcW w:type="dxa" w:w="2700"/>
            <w:tcMar>
              <w:top w:w="80" w:type="dxa"/>
              <w:bottom w:w="80" w:type="dxa"/>
              <w:start w:w="120" w:type="dxa"/>
              <w:end w:w="120" w:type="dxa"/>
            </w:tcMar>
          </w:tcPr>
          <w:p>
            <w:r>
              <w:t>Stopped driving after familiar-route disorientation</w:t>
            </w:r>
          </w:p>
        </w:tc>
        <w:tc>
          <w:tcPr>
            <w:tcW w:type="dxa" w:w="2200"/>
            <w:tcMar>
              <w:top w:w="80" w:type="dxa"/>
              <w:bottom w:w="80" w:type="dxa"/>
              <w:start w:w="120" w:type="dxa"/>
              <w:end w:w="120" w:type="dxa"/>
            </w:tcMar>
          </w:tcPr>
          <w:p>
            <w:r>
              <w:t>Previously drove locally</w:t>
            </w:r>
          </w:p>
        </w:tc>
        <w:tc>
          <w:tcPr>
            <w:tcW w:type="dxa" w:w="2760"/>
            <w:tcMar>
              <w:top w:w="80" w:type="dxa"/>
              <w:bottom w:w="80" w:type="dxa"/>
              <w:start w:w="120" w:type="dxa"/>
              <w:end w:w="120" w:type="dxa"/>
            </w:tcMar>
          </w:tcPr>
          <w:p>
            <w:r>
              <w:t>No independent driving; supervised outings</w:t>
            </w:r>
          </w:p>
        </w:tc>
      </w:tr>
      <w:tr>
        <w:trPr>
          <w:cantSplit/>
        </w:trPr>
        <w:tc>
          <w:tcPr>
            <w:tcW w:type="dxa" w:w="1700"/>
            <w:tcMar>
              <w:top w:w="80" w:type="dxa"/>
              <w:bottom w:w="80" w:type="dxa"/>
              <w:start w:w="120" w:type="dxa"/>
              <w:end w:w="120" w:type="dxa"/>
            </w:tcMar>
          </w:tcPr>
          <w:p>
            <w:r>
              <w:t>Meals</w:t>
            </w:r>
          </w:p>
        </w:tc>
        <w:tc>
          <w:tcPr>
            <w:tcW w:type="dxa" w:w="2700"/>
            <w:tcMar>
              <w:top w:w="80" w:type="dxa"/>
              <w:bottom w:w="80" w:type="dxa"/>
              <w:start w:w="120" w:type="dxa"/>
              <w:end w:w="120" w:type="dxa"/>
            </w:tcMar>
          </w:tcPr>
          <w:p>
            <w:r>
              <w:t>Can eat independently; may forget whether she ate</w:t>
            </w:r>
          </w:p>
        </w:tc>
        <w:tc>
          <w:tcPr>
            <w:tcW w:type="dxa" w:w="2200"/>
            <w:tcMar>
              <w:top w:w="80" w:type="dxa"/>
              <w:bottom w:w="80" w:type="dxa"/>
              <w:start w:w="120" w:type="dxa"/>
              <w:end w:w="120" w:type="dxa"/>
            </w:tcMar>
          </w:tcPr>
          <w:p>
            <w:r>
              <w:t>New repeated meal questions</w:t>
            </w:r>
          </w:p>
        </w:tc>
        <w:tc>
          <w:tcPr>
            <w:tcW w:type="dxa" w:w="2760"/>
            <w:tcMar>
              <w:top w:w="80" w:type="dxa"/>
              <w:bottom w:w="80" w:type="dxa"/>
              <w:start w:w="120" w:type="dxa"/>
              <w:end w:w="120" w:type="dxa"/>
            </w:tcMar>
          </w:tcPr>
          <w:p>
            <w:r>
              <w:t>Prepared meals; hydration and intake logged</w:t>
            </w:r>
          </w:p>
        </w:tc>
      </w:tr>
      <w:tr>
        <w:trPr>
          <w:cantSplit/>
        </w:trPr>
        <w:tc>
          <w:tcPr>
            <w:tcW w:type="dxa" w:w="1700"/>
            <w:tcMar>
              <w:top w:w="80" w:type="dxa"/>
              <w:bottom w:w="80" w:type="dxa"/>
              <w:start w:w="120" w:type="dxa"/>
              <w:end w:w="120" w:type="dxa"/>
            </w:tcMar>
          </w:tcPr>
          <w:p>
            <w:r>
              <w:t>Hygiene/dressing</w:t>
            </w:r>
          </w:p>
        </w:tc>
        <w:tc>
          <w:tcPr>
            <w:tcW w:type="dxa" w:w="2700"/>
            <w:tcMar>
              <w:top w:w="80" w:type="dxa"/>
              <w:bottom w:w="80" w:type="dxa"/>
              <w:start w:w="120" w:type="dxa"/>
              <w:end w:w="120" w:type="dxa"/>
            </w:tcMar>
          </w:tcPr>
          <w:p>
            <w:r>
              <w:t>Independent with intermittent sequencing prompts</w:t>
            </w:r>
          </w:p>
        </w:tc>
        <w:tc>
          <w:tcPr>
            <w:tcW w:type="dxa" w:w="2200"/>
            <w:tcMar>
              <w:top w:w="80" w:type="dxa"/>
              <w:bottom w:w="80" w:type="dxa"/>
              <w:start w:w="120" w:type="dxa"/>
              <w:end w:w="120" w:type="dxa"/>
            </w:tcMar>
          </w:tcPr>
          <w:p>
            <w:r>
              <w:t>New cueing need</w:t>
            </w:r>
          </w:p>
        </w:tc>
        <w:tc>
          <w:tcPr>
            <w:tcW w:type="dxa" w:w="2760"/>
            <w:tcMar>
              <w:top w:w="80" w:type="dxa"/>
              <w:bottom w:w="80" w:type="dxa"/>
              <w:start w:w="120" w:type="dxa"/>
              <w:end w:w="120" w:type="dxa"/>
            </w:tcMar>
          </w:tcPr>
          <w:p>
            <w:r>
              <w:t>Lay out clothing; one-step prompts</w:t>
            </w:r>
          </w:p>
        </w:tc>
      </w:tr>
      <w:tr>
        <w:trPr>
          <w:cantSplit/>
        </w:trPr>
        <w:tc>
          <w:tcPr>
            <w:tcW w:type="dxa" w:w="1700"/>
            <w:tcMar>
              <w:top w:w="80" w:type="dxa"/>
              <w:bottom w:w="80" w:type="dxa"/>
              <w:start w:w="120" w:type="dxa"/>
              <w:end w:w="120" w:type="dxa"/>
            </w:tcMar>
          </w:tcPr>
          <w:p>
            <w:r>
              <w:t>Communication</w:t>
            </w:r>
          </w:p>
        </w:tc>
        <w:tc>
          <w:tcPr>
            <w:tcW w:type="dxa" w:w="2700"/>
            <w:tcMar>
              <w:top w:w="80" w:type="dxa"/>
              <w:bottom w:w="80" w:type="dxa"/>
              <w:start w:w="120" w:type="dxa"/>
              <w:end w:w="120" w:type="dxa"/>
            </w:tcMar>
          </w:tcPr>
          <w:p>
            <w:r>
              <w:t>Frequent word-finding pauses; follows simple conversation</w:t>
            </w:r>
          </w:p>
        </w:tc>
        <w:tc>
          <w:tcPr>
            <w:tcW w:type="dxa" w:w="2200"/>
            <w:tcMar>
              <w:top w:w="80" w:type="dxa"/>
              <w:bottom w:w="80" w:type="dxa"/>
              <w:start w:w="120" w:type="dxa"/>
              <w:end w:w="120" w:type="dxa"/>
            </w:tcMar>
          </w:tcPr>
          <w:p>
            <w:r>
              <w:t>Worsening</w:t>
            </w:r>
          </w:p>
        </w:tc>
        <w:tc>
          <w:tcPr>
            <w:tcW w:type="dxa" w:w="2760"/>
            <w:tcMar>
              <w:top w:w="80" w:type="dxa"/>
              <w:bottom w:w="80" w:type="dxa"/>
              <w:start w:w="120" w:type="dxa"/>
              <w:end w:w="120" w:type="dxa"/>
            </w:tcMar>
          </w:tcPr>
          <w:p>
            <w:r>
              <w:t>Allow response time; use short choices</w:t>
            </w:r>
          </w:p>
        </w:tc>
      </w:tr>
      <w:tr>
        <w:trPr>
          <w:cantSplit/>
        </w:trPr>
        <w:tc>
          <w:tcPr>
            <w:tcW w:type="dxa" w:w="1700"/>
            <w:tcMar>
              <w:top w:w="80" w:type="dxa"/>
              <w:bottom w:w="80" w:type="dxa"/>
              <w:start w:w="120" w:type="dxa"/>
              <w:end w:w="120" w:type="dxa"/>
            </w:tcMar>
          </w:tcPr>
          <w:p>
            <w:r>
              <w:t>Home safety</w:t>
            </w:r>
          </w:p>
        </w:tc>
        <w:tc>
          <w:tcPr>
            <w:tcW w:type="dxa" w:w="2700"/>
            <w:tcMar>
              <w:top w:w="80" w:type="dxa"/>
              <w:bottom w:w="80" w:type="dxa"/>
              <w:start w:w="120" w:type="dxa"/>
              <w:end w:w="120" w:type="dxa"/>
            </w:tcMar>
          </w:tcPr>
          <w:p>
            <w:r>
              <w:t>Cannot safely use stove alone</w:t>
            </w:r>
          </w:p>
        </w:tc>
        <w:tc>
          <w:tcPr>
            <w:tcW w:type="dxa" w:w="2200"/>
            <w:tcMar>
              <w:top w:w="80" w:type="dxa"/>
              <w:bottom w:w="80" w:type="dxa"/>
              <w:start w:w="120" w:type="dxa"/>
              <w:end w:w="120" w:type="dxa"/>
            </w:tcMar>
          </w:tcPr>
          <w:p>
            <w:r>
              <w:t>Worsening judgment</w:t>
            </w:r>
          </w:p>
        </w:tc>
        <w:tc>
          <w:tcPr>
            <w:tcW w:type="dxa" w:w="2760"/>
            <w:tcMar>
              <w:top w:w="80" w:type="dxa"/>
              <w:bottom w:w="80" w:type="dxa"/>
              <w:start w:w="120" w:type="dxa"/>
              <w:end w:w="120" w:type="dxa"/>
            </w:tcMar>
          </w:tcPr>
          <w:p>
            <w:r>
              <w:t>Stove controls secured; ID bracelet/door plan</w:t>
            </w:r>
          </w:p>
        </w:tc>
      </w:tr>
    </w:tbl>
    <w:p>
      <w:pPr>
        <w:pStyle w:val="Heading1"/>
      </w:pPr>
      <w:r>
        <w:t>Medical, medication, and social history</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Known diagnosis</w:t>
            </w:r>
          </w:p>
        </w:tc>
        <w:tc>
          <w:tcPr>
            <w:tcW w:type="dxa" w:w="6660"/>
            <w:tcMar>
              <w:top w:w="80" w:type="dxa"/>
              <w:bottom w:w="80" w:type="dxa"/>
              <w:start w:w="120" w:type="dxa"/>
              <w:end w:w="120" w:type="dxa"/>
            </w:tcMar>
          </w:tcPr>
          <w:p>
            <w:r>
              <w:t>Probable Alzheimer's disease, mild stage at prior assessment; now concerning for progression</w:t>
            </w:r>
          </w:p>
        </w:tc>
      </w:tr>
      <w:tr>
        <w:tc>
          <w:tcPr>
            <w:tcW w:type="dxa" w:w="2700"/>
            <w:shd w:fill="F2F4F7"/>
            <w:tcMar>
              <w:top w:w="80" w:type="dxa"/>
              <w:bottom w:w="80" w:type="dxa"/>
              <w:start w:w="120" w:type="dxa"/>
              <w:end w:w="120" w:type="dxa"/>
            </w:tcMar>
          </w:tcPr>
          <w:p>
            <w:r>
              <w:rPr>
                <w:b/>
                <w:color w:val="1F4D78"/>
              </w:rPr>
              <w:t>Other diagnoses</w:t>
            </w:r>
          </w:p>
        </w:tc>
        <w:tc>
          <w:tcPr>
            <w:tcW w:type="dxa" w:w="6660"/>
            <w:tcMar>
              <w:top w:w="80" w:type="dxa"/>
              <w:bottom w:w="80" w:type="dxa"/>
              <w:start w:w="120" w:type="dxa"/>
              <w:end w:w="120" w:type="dxa"/>
            </w:tcMar>
          </w:tcPr>
          <w:p>
            <w:r>
              <w:t>Not provided in source—reconcile cardiovascular, metabolic, psychiatric, sleep, sensory, and neurologic history</w:t>
            </w:r>
          </w:p>
        </w:tc>
      </w:tr>
      <w:tr>
        <w:tc>
          <w:tcPr>
            <w:tcW w:type="dxa" w:w="2700"/>
            <w:shd w:fill="F2F4F7"/>
            <w:tcMar>
              <w:top w:w="80" w:type="dxa"/>
              <w:bottom w:w="80" w:type="dxa"/>
              <w:start w:w="120" w:type="dxa"/>
              <w:end w:w="120" w:type="dxa"/>
            </w:tcMar>
          </w:tcPr>
          <w:p>
            <w:r>
              <w:rPr>
                <w:b/>
                <w:color w:val="1F4D78"/>
              </w:rPr>
              <w:t>Current medications</w:t>
            </w:r>
          </w:p>
        </w:tc>
        <w:tc>
          <w:tcPr>
            <w:tcW w:type="dxa" w:w="6660"/>
            <w:tcMar>
              <w:top w:w="80" w:type="dxa"/>
              <w:bottom w:w="80" w:type="dxa"/>
              <w:start w:w="120" w:type="dxa"/>
              <w:end w:w="120" w:type="dxa"/>
            </w:tcMar>
          </w:tcPr>
          <w:p>
            <w:r>
              <w:t>Not provided—obtain complete prescription/OTC/supplement list and adherence history</w:t>
            </w:r>
          </w:p>
        </w:tc>
      </w:tr>
      <w:tr>
        <w:tc>
          <w:tcPr>
            <w:tcW w:type="dxa" w:w="2700"/>
            <w:shd w:fill="F2F4F7"/>
            <w:tcMar>
              <w:top w:w="80" w:type="dxa"/>
              <w:bottom w:w="80" w:type="dxa"/>
              <w:start w:w="120" w:type="dxa"/>
              <w:end w:w="120" w:type="dxa"/>
            </w:tcMar>
          </w:tcPr>
          <w:p>
            <w:r>
              <w:rPr>
                <w:b/>
                <w:color w:val="1F4D78"/>
              </w:rPr>
              <w:t>Allergies</w:t>
            </w:r>
          </w:p>
        </w:tc>
        <w:tc>
          <w:tcPr>
            <w:tcW w:type="dxa" w:w="6660"/>
            <w:tcMar>
              <w:top w:w="80" w:type="dxa"/>
              <w:bottom w:w="80" w:type="dxa"/>
              <w:start w:w="120" w:type="dxa"/>
              <w:end w:w="120" w:type="dxa"/>
            </w:tcMar>
          </w:tcPr>
          <w:p>
            <w:r>
              <w:t>Not provided—confirm drug and food allergies</w:t>
            </w:r>
          </w:p>
        </w:tc>
      </w:tr>
      <w:tr>
        <w:tc>
          <w:tcPr>
            <w:tcW w:type="dxa" w:w="2700"/>
            <w:shd w:fill="F2F4F7"/>
            <w:tcMar>
              <w:top w:w="80" w:type="dxa"/>
              <w:bottom w:w="80" w:type="dxa"/>
              <w:start w:w="120" w:type="dxa"/>
              <w:end w:w="120" w:type="dxa"/>
            </w:tcMar>
          </w:tcPr>
          <w:p>
            <w:r>
              <w:rPr>
                <w:b/>
                <w:color w:val="1F4D78"/>
              </w:rPr>
              <w:t>Substance use</w:t>
            </w:r>
          </w:p>
        </w:tc>
        <w:tc>
          <w:tcPr>
            <w:tcW w:type="dxa" w:w="6660"/>
            <w:tcMar>
              <w:top w:w="80" w:type="dxa"/>
              <w:bottom w:w="80" w:type="dxa"/>
              <w:start w:w="120" w:type="dxa"/>
              <w:end w:w="120" w:type="dxa"/>
            </w:tcMar>
          </w:tcPr>
          <w:p>
            <w:r>
              <w:t>Not provided—assess alcohol, nicotine, cannabis, and other substances</w:t>
            </w:r>
          </w:p>
        </w:tc>
      </w:tr>
      <w:tr>
        <w:tc>
          <w:tcPr>
            <w:tcW w:type="dxa" w:w="2700"/>
            <w:shd w:fill="F2F4F7"/>
            <w:tcMar>
              <w:top w:w="80" w:type="dxa"/>
              <w:bottom w:w="80" w:type="dxa"/>
              <w:start w:w="120" w:type="dxa"/>
              <w:end w:w="120" w:type="dxa"/>
            </w:tcMar>
          </w:tcPr>
          <w:p>
            <w:r>
              <w:rPr>
                <w:b/>
                <w:color w:val="1F4D78"/>
              </w:rPr>
              <w:t>Living situation</w:t>
            </w:r>
          </w:p>
        </w:tc>
        <w:tc>
          <w:tcPr>
            <w:tcW w:type="dxa" w:w="6660"/>
            <w:tcMar>
              <w:top w:w="80" w:type="dxa"/>
              <w:bottom w:w="80" w:type="dxa"/>
              <w:start w:w="120" w:type="dxa"/>
              <w:end w:w="120" w:type="dxa"/>
            </w:tcMar>
          </w:tcPr>
          <w:p>
            <w:r>
              <w:t>Lives at home; daughter provides daily oversight (synthetic assumption for this case)</w:t>
            </w:r>
          </w:p>
        </w:tc>
      </w:tr>
      <w:tr>
        <w:tc>
          <w:tcPr>
            <w:tcW w:type="dxa" w:w="2700"/>
            <w:shd w:fill="F2F4F7"/>
            <w:tcMar>
              <w:top w:w="80" w:type="dxa"/>
              <w:bottom w:w="80" w:type="dxa"/>
              <w:start w:w="120" w:type="dxa"/>
              <w:end w:w="120" w:type="dxa"/>
            </w:tcMar>
          </w:tcPr>
          <w:p>
            <w:r>
              <w:rPr>
                <w:b/>
                <w:color w:val="1F4D78"/>
              </w:rPr>
              <w:t>Advance care planning</w:t>
            </w:r>
          </w:p>
        </w:tc>
        <w:tc>
          <w:tcPr>
            <w:tcW w:type="dxa" w:w="6660"/>
            <w:tcMar>
              <w:top w:w="80" w:type="dxa"/>
              <w:bottom w:w="80" w:type="dxa"/>
              <w:start w:w="120" w:type="dxa"/>
              <w:end w:w="120" w:type="dxa"/>
            </w:tcMar>
          </w:tcPr>
          <w:p>
            <w:r>
              <w:t>Status unknown; assess health-care proxy, goals, and legal/financial planning</w:t>
            </w:r>
          </w:p>
        </w:tc>
      </w:tr>
    </w:tbl>
    <w:p>
      <w:pPr>
        <w:pStyle w:val="Heading1"/>
      </w:pPr>
      <w:r>
        <w:t>Review of systems relevant to cognitive decline</w:t>
      </w:r>
    </w:p>
    <w:p>
      <w:pPr>
        <w:pStyle w:val="ListBullet"/>
      </w:pPr>
      <w:r>
        <w:t>Positive: progressive recent-memory loss, repetition, word-finding difficulty, time disorientation, impaired planning/judgment, apathy/anxiety, sleep fragmentation.</w:t>
      </w:r>
    </w:p>
    <w:p>
      <w:pPr>
        <w:pStyle w:val="ListBullet"/>
      </w:pPr>
      <w:r>
        <w:t>Negative by caregiver report today: acute delirium, focal neurologic deficit, syncope, hallucinations, fixed delusions, seizure-like activity, myoclonus, falls, or physical aggression.</w:t>
      </w:r>
    </w:p>
    <w:p>
      <w:pPr>
        <w:pStyle w:val="ListBullet"/>
      </w:pPr>
      <w:r>
        <w:t>Not assessed/provided: pain, infection symptoms, urinary symptoms, appetite/weight change, hearing/vision change, medication adverse effects, sleep apnea symptoms.</w:t>
      </w:r>
    </w:p>
    <w:p>
      <w:pPr>
        <w:pStyle w:val="Heading1"/>
      </w:pPr>
      <w:r>
        <w:t>Examination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Documentation boundary: </w:t>
            </w:r>
            <w:r>
              <w:t>No actual examination or vital signs were supplied. The findings below are a plausible synthetic example and should be replaced by observed data.</w:t>
            </w:r>
          </w:p>
        </w:tc>
      </w:tr>
    </w:tbl>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Vital signs</w:t>
            </w:r>
          </w:p>
        </w:tc>
        <w:tc>
          <w:tcPr>
            <w:tcW w:type="dxa" w:w="6660"/>
            <w:tcMar>
              <w:top w:w="80" w:type="dxa"/>
              <w:bottom w:w="80" w:type="dxa"/>
              <w:start w:w="120" w:type="dxa"/>
              <w:end w:w="120" w:type="dxa"/>
            </w:tcMar>
          </w:tcPr>
          <w:p>
            <w:r>
              <w:t>Not supplied; record BP, HR, RR, temperature, oxygen saturation, weight, and orthostatics as indicated</w:t>
            </w:r>
          </w:p>
        </w:tc>
      </w:tr>
      <w:tr>
        <w:tc>
          <w:tcPr>
            <w:tcW w:type="dxa" w:w="2700"/>
            <w:shd w:fill="F2F4F7"/>
            <w:tcMar>
              <w:top w:w="80" w:type="dxa"/>
              <w:bottom w:w="80" w:type="dxa"/>
              <w:start w:w="120" w:type="dxa"/>
              <w:end w:w="120" w:type="dxa"/>
            </w:tcMar>
          </w:tcPr>
          <w:p>
            <w:r>
              <w:rPr>
                <w:b/>
                <w:color w:val="1F4D78"/>
              </w:rPr>
              <w:t>General</w:t>
            </w:r>
          </w:p>
        </w:tc>
        <w:tc>
          <w:tcPr>
            <w:tcW w:type="dxa" w:w="6660"/>
            <w:tcMar>
              <w:top w:w="80" w:type="dxa"/>
              <w:bottom w:w="80" w:type="dxa"/>
              <w:start w:w="120" w:type="dxa"/>
              <w:end w:w="120" w:type="dxa"/>
            </w:tcMar>
          </w:tcPr>
          <w:p>
            <w:r>
              <w:t>Synthetic example: alert, neatly groomed, cooperative; no acute distress</w:t>
            </w:r>
          </w:p>
        </w:tc>
      </w:tr>
      <w:tr>
        <w:tc>
          <w:tcPr>
            <w:tcW w:type="dxa" w:w="2700"/>
            <w:shd w:fill="F2F4F7"/>
            <w:tcMar>
              <w:top w:w="80" w:type="dxa"/>
              <w:bottom w:w="80" w:type="dxa"/>
              <w:start w:w="120" w:type="dxa"/>
              <w:end w:w="120" w:type="dxa"/>
            </w:tcMar>
          </w:tcPr>
          <w:p>
            <w:r>
              <w:rPr>
                <w:b/>
                <w:color w:val="1F4D78"/>
              </w:rPr>
              <w:t>Neurologic</w:t>
            </w:r>
          </w:p>
        </w:tc>
        <w:tc>
          <w:tcPr>
            <w:tcW w:type="dxa" w:w="6660"/>
            <w:tcMar>
              <w:top w:w="80" w:type="dxa"/>
              <w:bottom w:w="80" w:type="dxa"/>
              <w:start w:w="120" w:type="dxa"/>
              <w:end w:w="120" w:type="dxa"/>
            </w:tcMar>
          </w:tcPr>
          <w:p>
            <w:r>
              <w:t>Synthetic example: speech fluent with word-finding pauses; no gross focal motor deficit; gait steady; full neurologic exam required</w:t>
            </w:r>
          </w:p>
        </w:tc>
      </w:tr>
      <w:tr>
        <w:tc>
          <w:tcPr>
            <w:tcW w:type="dxa" w:w="2700"/>
            <w:shd w:fill="F2F4F7"/>
            <w:tcMar>
              <w:top w:w="80" w:type="dxa"/>
              <w:bottom w:w="80" w:type="dxa"/>
              <w:start w:w="120" w:type="dxa"/>
              <w:end w:w="120" w:type="dxa"/>
            </w:tcMar>
          </w:tcPr>
          <w:p>
            <w:r>
              <w:rPr>
                <w:b/>
                <w:color w:val="1F4D78"/>
              </w:rPr>
              <w:t>Mental status</w:t>
            </w:r>
          </w:p>
        </w:tc>
        <w:tc>
          <w:tcPr>
            <w:tcW w:type="dxa" w:w="6660"/>
            <w:tcMar>
              <w:top w:w="80" w:type="dxa"/>
              <w:bottom w:w="80" w:type="dxa"/>
              <w:start w:w="120" w:type="dxa"/>
              <w:end w:w="120" w:type="dxa"/>
            </w:tcMar>
          </w:tcPr>
          <w:p>
            <w:r>
              <w:t>Synthetic example: oriented to person and place, incorrect date/month; impaired delayed recall; difficulty with multistep command and clock planning</w:t>
            </w:r>
          </w:p>
        </w:tc>
      </w:tr>
      <w:tr>
        <w:tc>
          <w:tcPr>
            <w:tcW w:type="dxa" w:w="2700"/>
            <w:shd w:fill="F2F4F7"/>
            <w:tcMar>
              <w:top w:w="80" w:type="dxa"/>
              <w:bottom w:w="80" w:type="dxa"/>
              <w:start w:w="120" w:type="dxa"/>
              <w:end w:w="120" w:type="dxa"/>
            </w:tcMar>
          </w:tcPr>
          <w:p>
            <w:r>
              <w:rPr>
                <w:b/>
                <w:color w:val="1F4D78"/>
              </w:rPr>
              <w:t>Sensory</w:t>
            </w:r>
          </w:p>
        </w:tc>
        <w:tc>
          <w:tcPr>
            <w:tcW w:type="dxa" w:w="6660"/>
            <w:tcMar>
              <w:top w:w="80" w:type="dxa"/>
              <w:bottom w:w="80" w:type="dxa"/>
              <w:start w:w="120" w:type="dxa"/>
              <w:end w:w="120" w:type="dxa"/>
            </w:tcMar>
          </w:tcPr>
          <w:p>
            <w:r>
              <w:t>Hearing/vision status not supplied; screen because sensory loss can worsen apparent cognition</w:t>
            </w:r>
          </w:p>
        </w:tc>
      </w:tr>
    </w:tbl>
    <w:p>
      <w:pPr>
        <w:pStyle w:val="Heading1"/>
      </w:pPr>
      <w:r>
        <w:t>Cognitive and staging assessment</w:t>
      </w:r>
    </w:p>
    <w:p>
      <w:r>
        <w:t>Formal MMSE, MoCA, CDR-SB, GDS, FAST, depression screen, and functional instrument scores were not supplied and should not be fabricated. At this visit, administer the same validated instrument used previously when possible, document education/language factors, and compare longitudinally rather than interpreting one score in isolation. Progression heterogeneity and measurement variability make serial function and collateral history essential. [7,8,9,11]</w:t>
      </w:r>
    </w:p>
    <w:p>
      <w:r>
        <w:t>Provisional clinical stage: Alzheimer's dementia transitioning from mild toward moderate (approximately CDR 1→2 / FAST 4→5), based chiefly on loss of independent IADLs and emerging need for cues in basic self-care. This is not a formal score.</w:t>
      </w:r>
    </w:p>
    <w:p>
      <w:pPr>
        <w:pStyle w:val="Heading1"/>
      </w:pPr>
      <w:r>
        <w:t>Assessment</w:t>
      </w:r>
    </w:p>
    <w:p>
      <w:pPr>
        <w:pStyle w:val="ListNumber"/>
      </w:pPr>
      <w:r>
        <w:rPr>
          <w:b/>
        </w:rPr>
        <w:t xml:space="preserve">Progressive major neurocognitive disorder attributed to Alzheimer's disease: </w:t>
      </w:r>
      <w:r>
        <w:t>Multidomain decline with meaningful functional loss; confirm etiology/stage and exclude superimposed contributors.</w:t>
      </w:r>
    </w:p>
    <w:p>
      <w:pPr>
        <w:pStyle w:val="ListNumber"/>
      </w:pPr>
      <w:r>
        <w:rPr>
          <w:b/>
        </w:rPr>
        <w:t xml:space="preserve">Increasing dependence and safety risk: </w:t>
      </w:r>
      <w:r>
        <w:t>Medication, finance, navigation, cooking, and wandering risks now require structured supervision.</w:t>
      </w:r>
    </w:p>
    <w:p>
      <w:pPr>
        <w:pStyle w:val="ListNumber"/>
      </w:pPr>
      <w:r>
        <w:rPr>
          <w:b/>
        </w:rPr>
        <w:t xml:space="preserve">Neuropsychiatric symptoms: </w:t>
      </w:r>
      <w:r>
        <w:t>Apathy, anxiety, evening irritability, and insomnia; assess triggers, caregiver burden, depression, and delirium contributors.</w:t>
      </w:r>
    </w:p>
    <w:p>
      <w:pPr>
        <w:pStyle w:val="ListNumber"/>
      </w:pPr>
      <w:r>
        <w:rPr>
          <w:b/>
        </w:rPr>
        <w:t xml:space="preserve">Caregiver strain risk: </w:t>
      </w:r>
      <w:r>
        <w:t>Daily oversight is expanding; caregiver support and respite planning are clinically relevant.</w:t>
      </w:r>
    </w:p>
    <w:p>
      <w:pPr>
        <w:pStyle w:val="Heading1"/>
      </w:pPr>
      <w:r>
        <w:t>Plan for clinician review and shared decision-making</w:t>
      </w:r>
    </w:p>
    <w:p>
      <w:pPr>
        <w:pStyle w:val="ListBullet"/>
      </w:pPr>
      <w:r>
        <w:t>Confirm longitudinal change with collateral history, medication reconciliation, neurologic examination, functional assessment, and a validated cognitive/staging instrument. Consider laboratory and imaging evaluation for reversible or superimposed causes according to the clinician's judgment.</w:t>
      </w:r>
    </w:p>
    <w:p>
      <w:pPr>
        <w:pStyle w:val="ListBullet"/>
      </w:pPr>
      <w:r>
        <w:t>Review current cognitive medication, adherence, benefit, adverse effects, pulse/weight, and contraindications. Cholinesterase inhibitors are guideline-supported in mild-to-moderate disease; memantine is generally considered as disease reaches moderate stage. Medication initiation or adjustment requires the treating clinician. [12–15]</w:t>
      </w:r>
    </w:p>
    <w:p>
      <w:pPr>
        <w:pStyle w:val="ListBullet"/>
      </w:pPr>
      <w:r>
        <w:t>If anti-amyloid therapy is being considered, urgently reassess stage and eligibility with an appropriate specialist. These therapies are intended for MCI or mild dementia due to Alzheimer's disease, require confirmed amyloid pathology and safety monitoring, and are not established for moderate dementia. Verify current labeling rather than relying on the Orange Book alone. [14,16]</w:t>
      </w:r>
    </w:p>
    <w:p>
      <w:pPr>
        <w:pStyle w:val="ListBullet"/>
      </w:pPr>
      <w:r>
        <w:t>Implement nonpharmacologic supports: structured daily routine, regular activity/exercise as tolerated, meaningful social engagement, cueing rather than testing, optimized sleep, and individualized cognitive stimulation. Evidence does not support treating a checklist score as proof of therapeutic response. [3,6,13–15]</w:t>
      </w:r>
    </w:p>
    <w:p>
      <w:pPr>
        <w:pStyle w:val="ListBullet"/>
      </w:pPr>
      <w:r>
        <w:t>Safety: no driving pending formal evaluation; caregiver-managed medications and finances; secure stove/firearms/toxic substances; fall and wandering prevention; identification and emergency-contact plan.</w:t>
      </w:r>
    </w:p>
    <w:p>
      <w:pPr>
        <w:pStyle w:val="ListBullet"/>
      </w:pPr>
      <w:r>
        <w:t>Care planning: social-work referral, caregiver education/respite, advance directive and durable power-of-attorney review, and discussion of future supervision and living arrangements.</w:t>
      </w:r>
    </w:p>
    <w:p>
      <w:pPr>
        <w:pStyle w:val="ListBullet"/>
      </w:pPr>
      <w:r>
        <w:t>Follow-up: schedule cognitive-neurology review in approximately 8–12 weeks or sooner for accelerated decline; bring the daily checklist summary, full medication bottles/list, and prior test scores.</w:t>
      </w:r>
    </w:p>
    <w:p>
      <w:pPr>
        <w:pStyle w:val="Heading1"/>
      </w:pPr>
      <w:r>
        <w:t>Urgent escalation instructions</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DECEC"/>
          </w:tcPr>
          <w:p>
            <w:r>
              <w:rPr>
                <w:rFonts w:ascii="Calibri" w:hAnsi="Calibri"/>
                <w:b/>
                <w:color w:val="9B1C1C"/>
                <w:sz w:val="22"/>
              </w:rPr>
              <w:t xml:space="preserve">Seek urgent medical assessment for: </w:t>
            </w:r>
            <w:r>
              <w:t>sudden or fluctuating confusion, new weakness or speech change, seizure, fall/head injury, fever or suspected infection, inability to awaken, unsafe wandering, suicidal thoughts, severe aggression, or abrupt loss of function. These changes may indicate delirium or another acute illness rather than gradual Alzheimer progression.</w:t>
            </w:r>
          </w:p>
        </w:tc>
      </w:tr>
    </w:tbl>
    <w:p>
      <w:pPr>
        <w:pStyle w:val="Heading1"/>
      </w:pPr>
      <w:r>
        <w:t>Clinician attestation placeholders</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Clinician signature</w:t>
            </w:r>
          </w:p>
        </w:tc>
        <w:tc>
          <w:tcPr>
            <w:tcW w:type="dxa" w:w="6660"/>
            <w:tcMar>
              <w:top w:w="80" w:type="dxa"/>
              <w:bottom w:w="80" w:type="dxa"/>
              <w:start w:w="120" w:type="dxa"/>
              <w:end w:w="120" w:type="dxa"/>
            </w:tcMar>
          </w:tcPr>
          <w:p>
            <w:r>
              <w:t>__________________________________</w:t>
            </w:r>
          </w:p>
        </w:tc>
      </w:tr>
      <w:tr>
        <w:tc>
          <w:tcPr>
            <w:tcW w:type="dxa" w:w="2700"/>
            <w:shd w:fill="F2F4F7"/>
            <w:tcMar>
              <w:top w:w="80" w:type="dxa"/>
              <w:bottom w:w="80" w:type="dxa"/>
              <w:start w:w="120" w:type="dxa"/>
              <w:end w:w="120" w:type="dxa"/>
            </w:tcMar>
          </w:tcPr>
          <w:p>
            <w:r>
              <w:rPr>
                <w:b/>
                <w:color w:val="1F4D78"/>
              </w:rPr>
              <w:t>Date / time</w:t>
            </w:r>
          </w:p>
        </w:tc>
        <w:tc>
          <w:tcPr>
            <w:tcW w:type="dxa" w:w="6660"/>
            <w:tcMar>
              <w:top w:w="80" w:type="dxa"/>
              <w:bottom w:w="80" w:type="dxa"/>
              <w:start w:w="120" w:type="dxa"/>
              <w:end w:w="120" w:type="dxa"/>
            </w:tcMar>
          </w:tcPr>
          <w:p>
            <w:r>
              <w:t>__________________________________</w:t>
            </w:r>
          </w:p>
        </w:tc>
      </w:tr>
      <w:tr>
        <w:tc>
          <w:tcPr>
            <w:tcW w:type="dxa" w:w="2700"/>
            <w:shd w:fill="F2F4F7"/>
            <w:tcMar>
              <w:top w:w="80" w:type="dxa"/>
              <w:bottom w:w="80" w:type="dxa"/>
              <w:start w:w="120" w:type="dxa"/>
              <w:end w:w="120" w:type="dxa"/>
            </w:tcMar>
          </w:tcPr>
          <w:p>
            <w:r>
              <w:rPr>
                <w:b/>
                <w:color w:val="1F4D78"/>
              </w:rPr>
              <w:t>Caregiver understanding</w:t>
            </w:r>
          </w:p>
        </w:tc>
        <w:tc>
          <w:tcPr>
            <w:tcW w:type="dxa" w:w="6660"/>
            <w:tcMar>
              <w:top w:w="80" w:type="dxa"/>
              <w:bottom w:w="80" w:type="dxa"/>
              <w:start w:w="120" w:type="dxa"/>
              <w:end w:w="120" w:type="dxa"/>
            </w:tcMar>
          </w:tcPr>
          <w:p>
            <w:r>
              <w:t>Teach-back completed:  Yes ☐   No ☐</w:t>
            </w:r>
          </w:p>
        </w:tc>
      </w:tr>
      <w:tr>
        <w:tc>
          <w:tcPr>
            <w:tcW w:type="dxa" w:w="2700"/>
            <w:shd w:fill="F2F4F7"/>
            <w:tcMar>
              <w:top w:w="80" w:type="dxa"/>
              <w:bottom w:w="80" w:type="dxa"/>
              <w:start w:w="120" w:type="dxa"/>
              <w:end w:w="120" w:type="dxa"/>
            </w:tcMar>
          </w:tcPr>
          <w:p>
            <w:r>
              <w:rPr>
                <w:b/>
                <w:color w:val="1F4D78"/>
              </w:rPr>
              <w:t>Next appointment</w:t>
            </w:r>
          </w:p>
        </w:tc>
        <w:tc>
          <w:tcPr>
            <w:tcW w:type="dxa" w:w="6660"/>
            <w:tcMar>
              <w:top w:w="80" w:type="dxa"/>
              <w:bottom w:w="80" w:type="dxa"/>
              <w:start w:w="120" w:type="dxa"/>
              <w:end w:w="120" w:type="dxa"/>
            </w:tcMar>
          </w:tcPr>
          <w:p>
            <w:r>
              <w:t>__________________________________</w:t>
            </w:r>
          </w:p>
        </w:tc>
      </w:tr>
    </w:tbl>
    <w:p>
      <w:pPr>
        <w:pStyle w:val="Heading1"/>
      </w:pPr>
      <w:r>
        <w:t>References</w:t>
      </w:r>
    </w:p>
    <w:p>
      <w:pPr>
        <w:spacing w:after="40" w:line="240" w:lineRule="auto"/>
        <w:ind w:left="288" w:hanging="288"/>
      </w:pPr>
      <w:r>
        <w:rPr>
          <w:rFonts w:ascii="Calibri" w:hAnsi="Calibri"/>
          <w:sz w:val="17"/>
        </w:rPr>
        <w:t xml:space="preserve">1. Knopman DS, Amieva H, Petersen RC, et al. Alzheimer disease. Nat Rev Dis Primers. 2021;7:33. </w:t>
      </w:r>
      <w:hyperlink r:id="rId11">
        <w:r>
          <w:rPr>
            <w:color w:val="2E74B5"/>
            <w:u w:val="single"/>
          </w:rPr>
          <w:t>Link</w:t>
        </w:r>
      </w:hyperlink>
    </w:p>
    <w:p>
      <w:pPr>
        <w:spacing w:after="40" w:line="240" w:lineRule="auto"/>
        <w:ind w:left="288" w:hanging="288"/>
      </w:pPr>
      <w:r>
        <w:rPr>
          <w:rFonts w:ascii="Calibri" w:hAnsi="Calibri"/>
          <w:sz w:val="17"/>
        </w:rPr>
        <w:t xml:space="preserve">2. Serrano-Pozo A, Escott-Price V, Grinberg LT, et al. Alzheimer's Disease. Lancet. 2026;407:2241-2262. </w:t>
      </w:r>
      <w:hyperlink r:id="rId12">
        <w:r>
          <w:rPr>
            <w:color w:val="2E74B5"/>
            <w:u w:val="single"/>
          </w:rPr>
          <w:t>Link</w:t>
        </w:r>
      </w:hyperlink>
    </w:p>
    <w:p>
      <w:pPr>
        <w:spacing w:after="40" w:line="240" w:lineRule="auto"/>
        <w:ind w:left="288" w:hanging="288"/>
      </w:pPr>
      <w:r>
        <w:rPr>
          <w:rFonts w:ascii="Calibri" w:hAnsi="Calibri"/>
          <w:sz w:val="17"/>
        </w:rPr>
        <w:t xml:space="preserve">3. Bahar-Fuchs A, Martyr A, Goh AM, et al. Cognitive training for people with mild to moderate dementia. Cochrane Database Syst Rev. 2019;3:CD013069. </w:t>
      </w:r>
      <w:hyperlink r:id="rId13">
        <w:r>
          <w:rPr>
            <w:color w:val="2E74B5"/>
            <w:u w:val="single"/>
          </w:rPr>
          <w:t>Link</w:t>
        </w:r>
      </w:hyperlink>
    </w:p>
    <w:p>
      <w:pPr>
        <w:spacing w:after="40" w:line="240" w:lineRule="auto"/>
        <w:ind w:left="288" w:hanging="288"/>
      </w:pPr>
      <w:r>
        <w:rPr>
          <w:rFonts w:ascii="Calibri" w:hAnsi="Calibri"/>
          <w:sz w:val="17"/>
        </w:rPr>
        <w:t xml:space="preserve">4. Kim YJ, Karceski S. Alzheimer Disease and Mood. Neurology. 2021;97:e1363-e1366. </w:t>
      </w:r>
      <w:hyperlink r:id="rId14">
        <w:r>
          <w:rPr>
            <w:color w:val="2E74B5"/>
            <w:u w:val="single"/>
          </w:rPr>
          <w:t>Link</w:t>
        </w:r>
      </w:hyperlink>
    </w:p>
    <w:p>
      <w:pPr>
        <w:spacing w:after="40" w:line="240" w:lineRule="auto"/>
        <w:ind w:left="288" w:hanging="288"/>
      </w:pPr>
      <w:r>
        <w:rPr>
          <w:rFonts w:ascii="Calibri" w:hAnsi="Calibri"/>
          <w:sz w:val="17"/>
        </w:rPr>
        <w:t xml:space="preserve">5. Karceski S, Antonopoulos M. Biomarkers in Alzheimer Disease: A Review. Neurology. 2023;101:e461-e463. </w:t>
      </w:r>
      <w:hyperlink r:id="rId15">
        <w:r>
          <w:rPr>
            <w:color w:val="2E74B5"/>
            <w:u w:val="single"/>
          </w:rPr>
          <w:t>Link</w:t>
        </w:r>
      </w:hyperlink>
    </w:p>
    <w:p>
      <w:pPr>
        <w:spacing w:after="40" w:line="240" w:lineRule="auto"/>
        <w:ind w:left="288" w:hanging="288"/>
      </w:pPr>
      <w:r>
        <w:rPr>
          <w:rFonts w:ascii="Calibri" w:hAnsi="Calibri"/>
          <w:sz w:val="17"/>
        </w:rPr>
        <w:t xml:space="preserve">6. Bahar-Fuchs A, Clare L, Woods B. Cognitive training and cognitive rehabilitation for mild to moderate Alzheimer's disease and vascular dementia. Cochrane Database Syst Rev. 2013;6:CD003260. </w:t>
      </w:r>
      <w:hyperlink r:id="rId16">
        <w:r>
          <w:rPr>
            <w:color w:val="2E74B5"/>
            <w:u w:val="single"/>
          </w:rPr>
          <w:t>Link</w:t>
        </w:r>
      </w:hyperlink>
    </w:p>
    <w:p>
      <w:pPr>
        <w:spacing w:after="40" w:line="240" w:lineRule="auto"/>
        <w:ind w:left="288" w:hanging="288"/>
      </w:pPr>
      <w:r>
        <w:rPr>
          <w:rFonts w:ascii="Calibri" w:hAnsi="Calibri"/>
          <w:sz w:val="17"/>
        </w:rPr>
        <w:t xml:space="preserve">7. Therriault J, Schindler SE, Salvado G, et al. Biomarker-based staging of Alzheimer disease. Nat Rev Neurol. 2024;20:232-244. </w:t>
      </w:r>
      <w:hyperlink r:id="rId17">
        <w:r>
          <w:rPr>
            <w:color w:val="2E74B5"/>
            <w:u w:val="single"/>
          </w:rPr>
          <w:t>Link</w:t>
        </w:r>
      </w:hyperlink>
    </w:p>
    <w:p>
      <w:pPr>
        <w:spacing w:after="40" w:line="240" w:lineRule="auto"/>
        <w:ind w:left="288" w:hanging="288"/>
      </w:pPr>
      <w:r>
        <w:rPr>
          <w:rFonts w:ascii="Calibri" w:hAnsi="Calibri"/>
          <w:sz w:val="17"/>
        </w:rPr>
        <w:t xml:space="preserve">8. Kayhan Kocak FO, Kumral E. Relationship between dementia staging scales, cognitive-behavioral scales and functionality. PLoS One. 2025;20:e0322572. </w:t>
      </w:r>
      <w:hyperlink r:id="rId18">
        <w:r>
          <w:rPr>
            <w:color w:val="2E74B5"/>
            <w:u w:val="single"/>
          </w:rPr>
          <w:t>Link</w:t>
        </w:r>
      </w:hyperlink>
    </w:p>
    <w:p>
      <w:pPr>
        <w:spacing w:after="40" w:line="240" w:lineRule="auto"/>
        <w:ind w:left="288" w:hanging="288"/>
      </w:pPr>
      <w:r>
        <w:rPr>
          <w:rFonts w:ascii="Calibri" w:hAnsi="Calibri"/>
          <w:sz w:val="17"/>
        </w:rPr>
        <w:t xml:space="preserve">9. Jack CR, Andrews JS, Beach TG, et al. Revised Criteria for Diagnosis and Staging of Alzheimer's Disease. Alzheimers Dement. 2024;20:5143-5169. </w:t>
      </w:r>
      <w:hyperlink r:id="rId19">
        <w:r>
          <w:rPr>
            <w:color w:val="2E74B5"/>
            <w:u w:val="single"/>
          </w:rPr>
          <w:t>Link</w:t>
        </w:r>
      </w:hyperlink>
    </w:p>
    <w:p>
      <w:pPr>
        <w:spacing w:after="40" w:line="240" w:lineRule="auto"/>
        <w:ind w:left="288" w:hanging="288"/>
      </w:pPr>
      <w:r>
        <w:rPr>
          <w:rFonts w:ascii="Calibri" w:hAnsi="Calibri"/>
          <w:sz w:val="17"/>
        </w:rPr>
        <w:t xml:space="preserve">10. Frisoni GB, Hansson O, Nichols E, et al. New Landscape of the Diagnosis of Alzheimer's Disease. Lancet. 2025;406:1389-1407. </w:t>
      </w:r>
      <w:hyperlink r:id="rId20">
        <w:r>
          <w:rPr>
            <w:color w:val="2E74B5"/>
            <w:u w:val="single"/>
          </w:rPr>
          <w:t>Link</w:t>
        </w:r>
      </w:hyperlink>
    </w:p>
    <w:p>
      <w:pPr>
        <w:spacing w:after="40" w:line="240" w:lineRule="auto"/>
        <w:ind w:left="288" w:hanging="288"/>
      </w:pPr>
      <w:r>
        <w:rPr>
          <w:rFonts w:ascii="Calibri" w:hAnsi="Calibri"/>
          <w:sz w:val="17"/>
        </w:rPr>
        <w:t xml:space="preserve">11. Jutten RJ, Sikkes SAM, Van der Flier WM, et al. Finding treatment effects in Alzheimer trials amid progression heterogeneity. Neurology. 2021;96:e2673-e2684. </w:t>
      </w:r>
      <w:hyperlink r:id="rId21">
        <w:r>
          <w:rPr>
            <w:color w:val="2E74B5"/>
            <w:u w:val="single"/>
          </w:rPr>
          <w:t>Link</w:t>
        </w:r>
      </w:hyperlink>
    </w:p>
    <w:p>
      <w:pPr>
        <w:spacing w:after="40" w:line="240" w:lineRule="auto"/>
        <w:ind w:left="288" w:hanging="288"/>
      </w:pPr>
      <w:r>
        <w:rPr>
          <w:rFonts w:ascii="Calibri" w:hAnsi="Calibri"/>
          <w:sz w:val="17"/>
        </w:rPr>
        <w:t xml:space="preserve">12. O'Brien JT, Holmes C, Jones M, et al. Clinical practice with anti-dementia drugs: third BAP consensus statement. J Psychopharmacol. 2017;31:147-168. </w:t>
      </w:r>
      <w:hyperlink r:id="rId22">
        <w:r>
          <w:rPr>
            <w:color w:val="2E74B5"/>
            <w:u w:val="single"/>
          </w:rPr>
          <w:t>Link</w:t>
        </w:r>
      </w:hyperlink>
    </w:p>
    <w:p>
      <w:pPr>
        <w:spacing w:after="40" w:line="240" w:lineRule="auto"/>
        <w:ind w:left="288" w:hanging="288"/>
      </w:pPr>
      <w:r>
        <w:rPr>
          <w:rFonts w:ascii="Calibri" w:hAnsi="Calibri"/>
          <w:sz w:val="17"/>
        </w:rPr>
        <w:t xml:space="preserve">13. Jaqua EE, Tran MN, Hanna M. Alzheimer Disease: Treatment of Cognitive and Functional Symptoms. Am Fam Physician. 2024;110:281-293. </w:t>
      </w:r>
      <w:hyperlink r:id="rId23">
        <w:r>
          <w:rPr>
            <w:color w:val="2E74B5"/>
            <w:u w:val="single"/>
          </w:rPr>
          <w:t>Link</w:t>
        </w:r>
      </w:hyperlink>
    </w:p>
    <w:p>
      <w:pPr>
        <w:spacing w:after="40" w:line="240" w:lineRule="auto"/>
        <w:ind w:left="288" w:hanging="288"/>
      </w:pPr>
      <w:r>
        <w:rPr>
          <w:rFonts w:ascii="Calibri" w:hAnsi="Calibri"/>
          <w:sz w:val="17"/>
        </w:rPr>
        <w:t xml:space="preserve">14. Reuben DB, Kremen S, Maust DT. Dementia Prevention and Treatment: A Narrative Review. JAMA Intern Med. 2024;184:563-572. </w:t>
      </w:r>
      <w:hyperlink r:id="rId24">
        <w:r>
          <w:rPr>
            <w:color w:val="2E74B5"/>
            <w:u w:val="single"/>
          </w:rPr>
          <w:t>Link</w:t>
        </w:r>
      </w:hyperlink>
    </w:p>
    <w:p>
      <w:pPr>
        <w:spacing w:after="40" w:line="240" w:lineRule="auto"/>
        <w:ind w:left="288" w:hanging="288"/>
      </w:pPr>
      <w:r>
        <w:rPr>
          <w:rFonts w:ascii="Calibri" w:hAnsi="Calibri"/>
          <w:sz w:val="17"/>
        </w:rPr>
        <w:t xml:space="preserve">15. Epperly T, Dunay MA, Boice JL. Alzheimer Disease: Pharmacologic and Nonpharmacologic Therapies. Am Fam Physician. 2017;95:771-778. </w:t>
      </w:r>
      <w:hyperlink r:id="rId25">
        <w:r>
          <w:rPr>
            <w:color w:val="2E74B5"/>
            <w:u w:val="single"/>
          </w:rPr>
          <w:t>Link</w:t>
        </w:r>
      </w:hyperlink>
    </w:p>
    <w:p>
      <w:pPr>
        <w:spacing w:after="40" w:line="240" w:lineRule="auto"/>
        <w:ind w:left="288" w:hanging="288"/>
      </w:pPr>
      <w:r>
        <w:rPr>
          <w:rFonts w:ascii="Calibri" w:hAnsi="Calibri"/>
          <w:sz w:val="17"/>
        </w:rPr>
        <w:t xml:space="preserve">16. U.S. Food and Drug Administration. Approved Drug Products with Therapeutic Equivalence Evaluations (Orange Book). </w:t>
      </w:r>
      <w:hyperlink r:id="rId26">
        <w:r>
          <w:rPr>
            <w:color w:val="2E74B5"/>
            <w:u w:val="single"/>
          </w:rPr>
          <w:t>Link</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6"/>
      </w:rPr>
      <w:t>SYNTHETIC CLINICAL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38/s41572-021-00269-y" TargetMode="External"/><Relationship Id="rId12" Type="http://schemas.openxmlformats.org/officeDocument/2006/relationships/hyperlink" Target="https://pubmed.ncbi.nlm.nih.gov/42208565" TargetMode="External"/><Relationship Id="rId13" Type="http://schemas.openxmlformats.org/officeDocument/2006/relationships/hyperlink" Target="https://doi.org/10.1002/14651858.CD013069.pub2" TargetMode="External"/><Relationship Id="rId14" Type="http://schemas.openxmlformats.org/officeDocument/2006/relationships/hyperlink" Target="https://pubmed.ncbi.nlm.nih.gov/34580191" TargetMode="External"/><Relationship Id="rId15" Type="http://schemas.openxmlformats.org/officeDocument/2006/relationships/hyperlink" Target="https://pubmed.ncbi.nlm.nih.gov/37487755" TargetMode="External"/><Relationship Id="rId16" Type="http://schemas.openxmlformats.org/officeDocument/2006/relationships/hyperlink" Target="https://doi.org/10.1002/14651858.CD003260.pub2" TargetMode="External"/><Relationship Id="rId17" Type="http://schemas.openxmlformats.org/officeDocument/2006/relationships/hyperlink" Target="https://doi.org/10.1038/s41582-024-00942-2" TargetMode="External"/><Relationship Id="rId18" Type="http://schemas.openxmlformats.org/officeDocument/2006/relationships/hyperlink" Target="https://doi.org/10.1371/journal.pone.0322572" TargetMode="External"/><Relationship Id="rId19" Type="http://schemas.openxmlformats.org/officeDocument/2006/relationships/hyperlink" Target="https://doi.org/10.1002/alz.13859" TargetMode="External"/><Relationship Id="rId20" Type="http://schemas.openxmlformats.org/officeDocument/2006/relationships/hyperlink" Target="https://pubmed.ncbi.nlm.nih.gov/40997838" TargetMode="External"/><Relationship Id="rId21" Type="http://schemas.openxmlformats.org/officeDocument/2006/relationships/hyperlink" Target="https://doi.org/10.1212/WNL.0000000000012022" TargetMode="External"/><Relationship Id="rId22" Type="http://schemas.openxmlformats.org/officeDocument/2006/relationships/hyperlink" Target="https://doi.org/10.1177/0269881116680924" TargetMode="External"/><Relationship Id="rId23" Type="http://schemas.openxmlformats.org/officeDocument/2006/relationships/hyperlink" Target="https://pubmed.ncbi.nlm.nih.gov/39283851" TargetMode="External"/><Relationship Id="rId24" Type="http://schemas.openxmlformats.org/officeDocument/2006/relationships/hyperlink" Target="https://doi.org/10.1001/jamainternmed.2023.8522" TargetMode="External"/><Relationship Id="rId25" Type="http://schemas.openxmlformats.org/officeDocument/2006/relationships/hyperlink" Target="https://pubmed.ncbi.nlm.nih.gov/28671413" TargetMode="External"/><Relationship Id="rId26" Type="http://schemas.openxmlformats.org/officeDocument/2006/relationships/hyperlink" Target="https://www.fda.gov/drugs/drug-approvals-and-databases/approved-drug-products-therapeutic-equivalence-evaluations-orang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