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Guardian Guide for Late-Stage Alzheimer's</w:t>
      </w:r>
    </w:p>
    <w:p>
      <w:pPr>
        <w:pStyle w:val="Subtitle"/>
      </w:pPr>
      <w:r>
        <w:t>A practical, comfort-focused guide for family and legal guardians providing care at home</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For guardians: </w:t>
            </w:r>
            <w:r>
              <w:t>You are not expected to act as a nurse, therapist, or pharmacist. Your role is to keep the person comfortable and safe, follow the written care plan, observe changes, document what happened, and call the appropriate professional. Stop any activity that causes distress, breathing difficulty, injury risk, or reduced alertness.</w:t>
            </w:r>
          </w:p>
        </w:tc>
      </w:tr>
    </w:tbl>
    <w:p>
      <w:pPr>
        <w:pStyle w:val="Heading1"/>
      </w:pPr>
      <w:r>
        <w:t>1. Guardian role, care goals, and contacts</w:t>
      </w:r>
    </w:p>
    <w:p>
      <w:pPr>
        <w:pStyle w:val="ListBullet"/>
      </w:pPr>
      <w:r>
        <w:t>Treat comfort, dignity, familiar routines and meaningful connection as clinical goals. Speak to the person, explain each step, and allow time even when no response is visible. [1,7,9,15]</w:t>
      </w:r>
    </w:p>
    <w:p>
      <w:pPr>
        <w:pStyle w:val="ListBullet"/>
      </w:pPr>
      <w:r>
        <w:t>Keep the health-care proxy, code status, hospitalization/antibiotic preferences, feeding decisions, hospice plan, emergency instructions and funeral/cultural wishes accessible to all caregivers.</w:t>
      </w:r>
    </w:p>
    <w:p>
      <w:pPr>
        <w:pStyle w:val="ListBullet"/>
      </w:pPr>
      <w:r>
        <w:t>Ask for palliative-care and hospice assessment; advanced dementia is terminal, but eligibility is individualized. FAST stage 7 plus documented complications/comorbidity may support hospice eligibility. [1,10,24]</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Primary guardian / backup guardian</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Primary clinician</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Hospice/palliative 24-hour number</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Home-health nurse</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SLP / diet order</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PT/OT / transfer order</w:t>
            </w:r>
          </w:p>
        </w:tc>
        <w:tc>
          <w:tcPr>
            <w:tcW w:type="dxa" w:w="6660"/>
            <w:tcMar>
              <w:top w:w="80" w:type="dxa"/>
              <w:bottom w:w="80" w:type="dxa"/>
              <w:start w:w="120" w:type="dxa"/>
              <w:end w:w="120" w:type="dxa"/>
            </w:tcMar>
          </w:tcPr>
          <w:p>
            <w:r>
              <w:t>________________ / ________________</w:t>
            </w:r>
          </w:p>
        </w:tc>
      </w:tr>
      <w:tr>
        <w:tc>
          <w:tcPr>
            <w:tcW w:type="dxa" w:w="2700"/>
            <w:shd w:fill="F2F4F7"/>
            <w:tcMar>
              <w:top w:w="80" w:type="dxa"/>
              <w:bottom w:w="80" w:type="dxa"/>
              <w:start w:w="120" w:type="dxa"/>
              <w:end w:w="120" w:type="dxa"/>
            </w:tcMar>
          </w:tcPr>
          <w:p>
            <w:r>
              <w:rPr>
                <w:b/>
                <w:color w:val="1F4D78"/>
              </w:rPr>
              <w:t>Pharmacy</w:t>
            </w:r>
          </w:p>
        </w:tc>
        <w:tc>
          <w:tcPr>
            <w:tcW w:type="dxa" w:w="6660"/>
            <w:tcMar>
              <w:top w:w="80" w:type="dxa"/>
              <w:bottom w:w="80" w:type="dxa"/>
              <w:start w:w="120" w:type="dxa"/>
              <w:end w:w="120" w:type="dxa"/>
            </w:tcMar>
          </w:tcPr>
          <w:p>
            <w:r>
              <w:t>________________ / ________________</w:t>
            </w:r>
          </w:p>
        </w:tc>
      </w:tr>
    </w:tbl>
    <w:p>
      <w:pPr>
        <w:pStyle w:val="Heading1"/>
      </w:pPr>
      <w:r>
        <w:t>2. Set up the home before providing care</w:t>
      </w:r>
    </w:p>
    <w:p>
      <w:pPr>
        <w:pStyle w:val="ListBullet"/>
      </w:pPr>
      <w:r>
        <w:t>Keep the emergency plan, medication list, advance directive, insurance information, allergies, diagnoses and team phone numbers together in a visible care binder. Every guardian and relief caregiver should know where it is.</w:t>
      </w:r>
    </w:p>
    <w:p>
      <w:pPr>
        <w:pStyle w:val="ListBullet"/>
      </w:pPr>
      <w:r>
        <w:t>Create one clean supply station near the bed: gloves, wipes/cleansers, barrier cream, oral-care supplies, clean linens, disposable pads, waste bags and the daily checklist. Store medications separately in a locked, well-lit area.</w:t>
      </w:r>
    </w:p>
    <w:p>
      <w:pPr>
        <w:pStyle w:val="ListBullet"/>
      </w:pPr>
      <w:r>
        <w:t>Use only equipment assessed for the home and patient: appropriate bed, pressure-redistributing mattress, rails only when clinically approved, prescribed lift and sling, wheelchair/cushion, heel-offloading device and positioning supports. Keep cords, oxygen and tubing out of walkways.</w:t>
      </w:r>
    </w:p>
    <w:p>
      <w:pPr>
        <w:pStyle w:val="ListBullet"/>
      </w:pPr>
      <w:r>
        <w:t>Leave enough space on both sides of the bed for two trained people and equipment. Use night-lights, remove loose rugs/clutter, lock wheelchair/bed wheels during care, and keep pets/children away during transfers.</w:t>
      </w:r>
    </w:p>
    <w:p>
      <w:pPr>
        <w:pStyle w:val="ListBullet"/>
      </w:pPr>
      <w:r>
        <w:t>Post a simple shift plan: who gives medications, who feeds, who completes skin/oral care, who records observations, and who calls the care team. Never assume another family member completed a task.</w:t>
      </w:r>
    </w:p>
    <w:p>
      <w:pPr>
        <w:pStyle w:val="Heading1"/>
      </w:pPr>
      <w:r>
        <w:t>3. A simple home-care routine</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Morning</w:t>
            </w:r>
          </w:p>
        </w:tc>
        <w:tc>
          <w:tcPr>
            <w:tcW w:type="dxa" w:w="6660"/>
            <w:tcMar>
              <w:top w:w="80" w:type="dxa"/>
              <w:bottom w:w="80" w:type="dxa"/>
              <w:start w:w="120" w:type="dxa"/>
              <w:end w:w="120" w:type="dxa"/>
            </w:tcMar>
          </w:tcPr>
          <w:p>
            <w:r>
              <w:t>Check breathing/alertness → continence and skin care → mouth care → prescribed medicines → hand feeding → comfortable repositioning</w:t>
            </w:r>
          </w:p>
        </w:tc>
      </w:tr>
      <w:tr>
        <w:tc>
          <w:tcPr>
            <w:tcW w:type="dxa" w:w="2700"/>
            <w:shd w:fill="F2F4F7"/>
            <w:tcMar>
              <w:top w:w="80" w:type="dxa"/>
              <w:bottom w:w="80" w:type="dxa"/>
              <w:start w:w="120" w:type="dxa"/>
              <w:end w:w="120" w:type="dxa"/>
            </w:tcMar>
          </w:tcPr>
          <w:p>
            <w:r>
              <w:rPr>
                <w:b/>
                <w:color w:val="1F4D78"/>
              </w:rPr>
              <w:t>Midday</w:t>
            </w:r>
          </w:p>
        </w:tc>
        <w:tc>
          <w:tcPr>
            <w:tcW w:type="dxa" w:w="6660"/>
            <w:tcMar>
              <w:top w:w="80" w:type="dxa"/>
              <w:bottom w:w="80" w:type="dxa"/>
              <w:start w:w="120" w:type="dxa"/>
              <w:end w:w="120" w:type="dxa"/>
            </w:tcMar>
          </w:tcPr>
          <w:p>
            <w:r>
              <w:t>Check comfort/skin → meal and fluids per plan → mouth care → prescribed movement/positioning → rest</w:t>
            </w:r>
          </w:p>
        </w:tc>
      </w:tr>
      <w:tr>
        <w:tc>
          <w:tcPr>
            <w:tcW w:type="dxa" w:w="2700"/>
            <w:shd w:fill="F2F4F7"/>
            <w:tcMar>
              <w:top w:w="80" w:type="dxa"/>
              <w:bottom w:w="80" w:type="dxa"/>
              <w:start w:w="120" w:type="dxa"/>
              <w:end w:w="120" w:type="dxa"/>
            </w:tcMar>
          </w:tcPr>
          <w:p>
            <w:r>
              <w:rPr>
                <w:b/>
                <w:color w:val="1F4D78"/>
              </w:rPr>
              <w:t>Evening</w:t>
            </w:r>
          </w:p>
        </w:tc>
        <w:tc>
          <w:tcPr>
            <w:tcW w:type="dxa" w:w="6660"/>
            <w:tcMar>
              <w:top w:w="80" w:type="dxa"/>
              <w:bottom w:w="80" w:type="dxa"/>
              <w:start w:w="120" w:type="dxa"/>
              <w:end w:w="120" w:type="dxa"/>
            </w:tcMar>
          </w:tcPr>
          <w:p>
            <w:r>
              <w:t>Meal and medicines per plan → mouth/continence care → skin check → comfortable sleep position → caregiver handoff</w:t>
            </w:r>
          </w:p>
        </w:tc>
      </w:tr>
      <w:tr>
        <w:tc>
          <w:tcPr>
            <w:tcW w:type="dxa" w:w="2700"/>
            <w:shd w:fill="F2F4F7"/>
            <w:tcMar>
              <w:top w:w="80" w:type="dxa"/>
              <w:bottom w:w="80" w:type="dxa"/>
              <w:start w:w="120" w:type="dxa"/>
              <w:end w:w="120" w:type="dxa"/>
            </w:tcMar>
          </w:tcPr>
          <w:p>
            <w:r>
              <w:rPr>
                <w:b/>
                <w:color w:val="1F4D78"/>
              </w:rPr>
              <w:t>Overnight</w:t>
            </w:r>
          </w:p>
        </w:tc>
        <w:tc>
          <w:tcPr>
            <w:tcW w:type="dxa" w:w="6660"/>
            <w:tcMar>
              <w:top w:w="80" w:type="dxa"/>
              <w:bottom w:w="80" w:type="dxa"/>
              <w:start w:w="120" w:type="dxa"/>
              <w:end w:w="120" w:type="dxa"/>
            </w:tcMar>
          </w:tcPr>
          <w:p>
            <w:r>
              <w:t>Follow the individualized turning/comfort plan; check only as directed so sleep is not needlessly disrupted</w:t>
            </w:r>
          </w:p>
        </w:tc>
      </w:tr>
      <w:tr>
        <w:tc>
          <w:tcPr>
            <w:tcW w:type="dxa" w:w="2700"/>
            <w:shd w:fill="F2F4F7"/>
            <w:tcMar>
              <w:top w:w="80" w:type="dxa"/>
              <w:bottom w:w="80" w:type="dxa"/>
              <w:start w:w="120" w:type="dxa"/>
              <w:end w:w="120" w:type="dxa"/>
            </w:tcMar>
          </w:tcPr>
          <w:p>
            <w:r>
              <w:rPr>
                <w:b/>
                <w:color w:val="1F4D78"/>
              </w:rPr>
              <w:t>Every shift</w:t>
            </w:r>
          </w:p>
        </w:tc>
        <w:tc>
          <w:tcPr>
            <w:tcW w:type="dxa" w:w="6660"/>
            <w:tcMar>
              <w:top w:w="80" w:type="dxa"/>
              <w:bottom w:w="80" w:type="dxa"/>
              <w:start w:w="120" w:type="dxa"/>
              <w:end w:w="120" w:type="dxa"/>
            </w:tcMar>
          </w:tcPr>
          <w:p>
            <w:r>
              <w:t>Complete the daily checklist; record intake, urine/bowel pattern, skin, distress cues, medicines/PRNs and calls made</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E8EEF5"/>
          </w:tcPr>
          <w:p>
            <w:r>
              <w:rPr>
                <w:rFonts w:ascii="Calibri" w:hAnsi="Calibri"/>
                <w:b/>
                <w:color w:val="1F4D78"/>
                <w:sz w:val="22"/>
              </w:rPr>
              <w:t xml:space="preserve">One guardian should coordinate the day: </w:t>
            </w:r>
            <w:r>
              <w:t>Use a written handoff. If several relatives help, designate one person to maintain the current medication list and one person to communicate changes to the clinical team.</w:t>
            </w:r>
          </w:p>
        </w:tc>
      </w:tr>
    </w:tbl>
    <w:p>
      <w:pPr>
        <w:pStyle w:val="Heading1"/>
      </w:pPr>
      <w:r>
        <w:t>4. Daily comfort and hygiene</w:t>
      </w:r>
    </w:p>
    <w:p>
      <w:pPr>
        <w:pStyle w:val="ListBullet"/>
      </w:pPr>
      <w:r>
        <w:t>Approach from the front, identify yourself, reduce noise, use one short cue at a time, and pause if the person stiffens, grimaces, moans, pushes away, or becomes breathless.</w:t>
      </w:r>
    </w:p>
    <w:p>
      <w:pPr>
        <w:pStyle w:val="ListBullet"/>
      </w:pPr>
      <w:r>
        <w:t>Provide gentle mouth care at least morning/evening and after meals as directed; inspect for retained food, dryness, sores, thrush, loose teeth or bleeding. Remove dentures and clean them per dental guidance.</w:t>
      </w:r>
    </w:p>
    <w:p>
      <w:pPr>
        <w:pStyle w:val="ListBullet"/>
      </w:pPr>
      <w:r>
        <w:t>Use warm water, preserve privacy, pat skin dry, and provide prompt continence care. Use clinician-recommended moisture barrier; avoid vigorous rubbing over bony prominences.</w:t>
      </w:r>
    </w:p>
    <w:p>
      <w:pPr>
        <w:pStyle w:val="ListBullet"/>
      </w:pPr>
      <w:r>
        <w:t>Track usual bowel pattern. Prevent constipation using the ordered hydration, diet, mobility and medication plan; do not give rectal treatments or laxatives outside orders.</w:t>
      </w:r>
    </w:p>
    <w:p>
      <w:pPr>
        <w:pStyle w:val="ListBullet"/>
      </w:pPr>
      <w:r>
        <w:t>Treat behavioral change as possible communication: look for pain, urinary retention, constipation, hunger/thirst, temperature, infection, medication effect, noise, fear, or an uncomfortable position before sedating medication. [1,7,15,21,25]</w:t>
      </w:r>
    </w:p>
    <w:p>
      <w:pPr>
        <w:pStyle w:val="Heading1"/>
      </w:pPr>
      <w:r>
        <w:t>5. Skin and pressure-injury prevention at home</w:t>
      </w:r>
    </w:p>
    <w:p>
      <w:pPr>
        <w:pStyle w:val="ListBullet"/>
      </w:pPr>
      <w:r>
        <w:t>Inspect skin every shift/day according to the care plan: sacrum/coccyx, hips, heels, ankles, knees, elbows, shoulder blades, ears and beneath devices. Note whether redness blanches, and report purple/maroon discoloration, blister, heat, hardness, open skin, drainage or odor.</w:t>
      </w:r>
    </w:p>
    <w:p>
      <w:pPr>
        <w:pStyle w:val="ListBullet"/>
      </w:pPr>
      <w:r>
        <w:t>Use a pressure-redistributing full-body support surface selected for body size and risk. Offload heels completely when ordered; do not use improvised rings/doughnuts. [23]</w:t>
      </w:r>
    </w:p>
    <w:p>
      <w:pPr>
        <w:pStyle w:val="ListBullet"/>
      </w:pPr>
      <w:r>
        <w:t>Reposition on an individualized schedule based on skin response, comfort, sleep, medical condition and support surface. A 30-degree lateral position may reduce pressure for some patients, but positioning angle and frequency require clinical assessment; avoid dragging and use slide sheets/lift equipment. [23]</w:t>
      </w:r>
    </w:p>
    <w:p>
      <w:pPr>
        <w:pStyle w:val="ListBullet"/>
      </w:pPr>
      <w:r>
        <w:t>Keep sheets dry, smooth and free of crumbs/tubing. Manage moisture and nutrition. Do not massage reddened bony areas.</w:t>
      </w:r>
    </w:p>
    <w:p>
      <w:pPr>
        <w:pStyle w:val="ListBullet"/>
      </w:pPr>
      <w:r>
        <w:t>For an existing wound, follow the wound clinician's stage, dressing, cleansing, offloading and photography/measurement plan—do not substitute this guide.</w:t>
      </w:r>
    </w:p>
    <w:p>
      <w:pPr>
        <w:pStyle w:val="Heading1"/>
      </w:pPr>
      <w:r>
        <w:t>6. Positioning, home PT, and transfers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Guardian safety: </w:t>
            </w:r>
            <w:r>
              <w:t>Do not perform a two-person transfer alone. If the trained helper or prescribed equipment is unavailable, keep the person safely in bed and call the home-health/hospice team. Use only the lift and sling fitted and taught in the home. Never pull on arms, lift under the shoulders, or leave a person unattended in a lift.</w:t>
            </w:r>
          </w:p>
        </w:tc>
      </w:tr>
    </w:tbl>
    <w:p>
      <w:pPr>
        <w:pStyle w:val="ListBullet"/>
      </w:pPr>
      <w:r>
        <w:t>Before movement: check alertness, pain cues, lines/tubes, footwear, brakes, floor and destination. Explain the move; count aloud; stop for distress.</w:t>
      </w:r>
    </w:p>
    <w:p>
      <w:pPr>
        <w:pStyle w:val="ListBullet"/>
      </w:pPr>
      <w:r>
        <w:t>Maintain neutral, supported alignment of head, shoulders, hips, knees and ankles using prescribed pillows/positioners. Avoid forcefully straightening a contracture.</w:t>
      </w:r>
    </w:p>
    <w:p>
      <w:pPr>
        <w:pStyle w:val="ListBullet"/>
      </w:pPr>
      <w:r>
        <w:t>Perform only the individualized passive or active-assisted range-of-motion program. Move slowly within a comfortable range; typical targets may include shoulders, elbows, wrists/fingers, hips, knees and ankles, but repetitions/frequency must be prescribed. Stop for resistance, pain, swelling, spasm, breathing change or new asymmetry.</w:t>
      </w:r>
    </w:p>
    <w:p>
      <w:pPr>
        <w:pStyle w:val="ListBullet"/>
      </w:pPr>
      <w:r>
        <w:t>Sitting out of bed may support comfort, interaction and lung expansion only if tolerated and safely positioned. Follow prescribed duration, head/trunk support, cushion and pressure-relief plan.</w:t>
      </w:r>
    </w:p>
    <w:p>
      <w:pPr>
        <w:pStyle w:val="ListBullet"/>
      </w:pPr>
      <w:r>
        <w:t>PT goals in advanced dementia are comfort, prevention of avoidable stiffness, safe positioning/equipment and caregiver skill—not cognitive recovery. Evidence for broader functional gains in advanced disease is limited. [13,14,18,19]</w:t>
      </w:r>
    </w:p>
    <w:p>
      <w:pPr>
        <w:pStyle w:val="Heading1"/>
      </w:pPr>
      <w:r>
        <w:t>7. Hand feeding, swallowing, and hydration at home</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Never improvise: </w:t>
            </w:r>
            <w:r>
              <w:t>Use only the SLP/clinician-prescribed food texture, liquid consistency, utensils, pacing and medication route. Thickened liquids, straws, chin-tuck maneuvers and crushed tablets are not universally safe.</w:t>
            </w:r>
          </w:p>
        </w:tc>
      </w:tr>
    </w:tbl>
    <w:p>
      <w:pPr>
        <w:pStyle w:val="Heading2"/>
      </w:pPr>
      <w:r>
        <w:t>Before and during hand feeding</w:t>
      </w:r>
    </w:p>
    <w:p>
      <w:pPr>
        <w:pStyle w:val="ListBullet"/>
      </w:pPr>
      <w:r>
        <w:t>Feed only when awake enough to participate and positioned as upright as the care plan permits, with head/trunk supported. Check the mouth and dentures.</w:t>
      </w:r>
    </w:p>
    <w:p>
      <w:pPr>
        <w:pStyle w:val="ListBullet"/>
      </w:pPr>
      <w:r>
        <w:t>Offer small amounts slowly; wait for the swallow; follow prescribed cues. Never force the mouth open or rush. Keep the environment calm and allow ample time.</w:t>
      </w:r>
    </w:p>
    <w:p>
      <w:pPr>
        <w:pStyle w:val="ListBullet"/>
      </w:pPr>
      <w:r>
        <w:t>Watch for coughing, throat clearing, wet/gurgly voice or breathing, repeated swallows, pocketing, watery eyes, breathlessness, color change, fatigue or reduced alertness. Stop feeding and follow the escalation plan if these occur.</w:t>
      </w:r>
    </w:p>
    <w:p>
      <w:pPr>
        <w:pStyle w:val="ListBullet"/>
      </w:pPr>
      <w:r>
        <w:t>Check and clear pocketed food using the prescribed method. Provide oral care after meals. Maintain the prescribed post-meal position and duration. [21,22]</w:t>
      </w:r>
    </w:p>
    <w:p>
      <w:pPr>
        <w:pStyle w:val="Heading2"/>
      </w:pPr>
      <w:r>
        <w:t>Comfort feeding and nutrition decisions</w:t>
      </w:r>
    </w:p>
    <w:p>
      <w:pPr>
        <w:pStyle w:val="ListBullet"/>
      </w:pPr>
      <w:r>
        <w:t>Careful hand feeding is generally preferred to feeding tubes in advanced dementia. Tube feeding has not been shown to improve survival, aspiration, pressure-injury healing or comfort and may add burdens. Decisions must reflect the patient's wishes and clinical context. [1,6]</w:t>
      </w:r>
    </w:p>
    <w:p>
      <w:pPr>
        <w:pStyle w:val="ListBullet"/>
      </w:pPr>
      <w:r>
        <w:t>Offer preferred, fortified, smaller meals or oral supplements when consistent with the diet plan. Avoid unnecessarily restrictive diets when comfort is the goal. Supplements may help weight but do not reverse terminal dementia. [11,20]</w:t>
      </w:r>
    </w:p>
    <w:p>
      <w:pPr>
        <w:pStyle w:val="ListBullet"/>
      </w:pPr>
      <w:r>
        <w:t>At the end of life, reduced appetite and thirst can be part of the dying process. Focus on comfort, mouth care and pleasure rather than forcing a caloric target; discuss any marked change with the team. [1,9,20,21]</w:t>
      </w:r>
    </w:p>
    <w:p>
      <w:pPr>
        <w:pStyle w:val="Heading1"/>
      </w:pPr>
      <w:r>
        <w:t>8. Medicines: what guardians should and should not do</w:t>
      </w:r>
    </w:p>
    <w:p>
      <w:pPr>
        <w:pStyle w:val="ListBullet"/>
      </w:pPr>
      <w:r>
        <w:t>Maintain one current list: drug, purpose, dose, route, schedule, PRN indication, maximum, last dose, prescriber and pharmacy. Document refusals, vomiting, swallowing difficulty and observed benefit/adverse effects.</w:t>
      </w:r>
    </w:p>
    <w:p>
      <w:pPr>
        <w:pStyle w:val="ListBullet"/>
      </w:pPr>
      <w:r>
        <w:t>Never crush, split, open, thicken or mix a medication without pharmacist/prescriber confirmation. Modified-release, enteric-coated, hazardous and sublingual products may be unsafe to alter.</w:t>
      </w:r>
    </w:p>
    <w:p>
      <w:pPr>
        <w:pStyle w:val="ListBullet"/>
      </w:pPr>
      <w:r>
        <w:t>Ask the prescriber to review each medicine for comfort benefit, time-to-benefit, sedation, anticholinergic burden, falls, constipation, dry mouth, bleeding, low blood pressure, low pulse, renal function and withdrawal risk. [4,8,12]</w:t>
      </w:r>
    </w:p>
    <w:p>
      <w:pPr>
        <w:pStyle w:val="ListBullet"/>
      </w:pPr>
      <w:r>
        <w:t>Cholinesterase inhibitor or memantine continuation/discontinuation is individualized. If deprescribing is chosen, use a monitored prescriber-led plan; do not abruptly stop on this guide's authority. [4,12]</w:t>
      </w:r>
    </w:p>
    <w:p>
      <w:pPr>
        <w:pStyle w:val="ListBullet"/>
      </w:pPr>
      <w:r>
        <w:t>Use non-drug measures first for agitation when safe. Antipsychotics in dementia carry increased mortality risk and require a clearly documented target symptom, risk-benefit discussion, lowest effective dose, monitoring and planned review/taper. [1,4]</w:t>
      </w:r>
    </w:p>
    <w:p>
      <w:pPr>
        <w:pStyle w:val="ListBullet"/>
      </w:pPr>
      <w:r>
        <w:t>Comfort medicines for pain, breathlessness, secretions, nausea, anxiety or seizures must have explicit indication, dose/route, monitoring and on-call instructions. Call before repeating a PRN dose when the written plan is unclear. [7,8]</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Medication review date</w:t>
            </w:r>
          </w:p>
        </w:tc>
        <w:tc>
          <w:tcPr>
            <w:tcW w:type="dxa" w:w="6660"/>
            <w:tcMar>
              <w:top w:w="80" w:type="dxa"/>
              <w:bottom w:w="80" w:type="dxa"/>
              <w:start w:w="120" w:type="dxa"/>
              <w:end w:w="120" w:type="dxa"/>
            </w:tcMar>
          </w:tcPr>
          <w:p>
            <w:r>
              <w:t>____________</w:t>
            </w:r>
          </w:p>
        </w:tc>
      </w:tr>
      <w:tr>
        <w:tc>
          <w:tcPr>
            <w:tcW w:type="dxa" w:w="2700"/>
            <w:shd w:fill="F2F4F7"/>
            <w:tcMar>
              <w:top w:w="80" w:type="dxa"/>
              <w:bottom w:w="80" w:type="dxa"/>
              <w:start w:w="120" w:type="dxa"/>
              <w:end w:w="120" w:type="dxa"/>
            </w:tcMar>
          </w:tcPr>
          <w:p>
            <w:r>
              <w:rPr>
                <w:b/>
                <w:color w:val="1F4D78"/>
              </w:rPr>
              <w:t>Drugs safe to crush / alternate route</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PRN pain plan and maximum</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PRN agitation/anxiety plan</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Bowel regimen</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Seizure / dyspnea emergency plan</w:t>
            </w:r>
          </w:p>
        </w:tc>
        <w:tc>
          <w:tcPr>
            <w:tcW w:type="dxa" w:w="6660"/>
            <w:tcMar>
              <w:top w:w="80" w:type="dxa"/>
              <w:bottom w:w="80" w:type="dxa"/>
              <w:start w:w="120" w:type="dxa"/>
              <w:end w:w="120" w:type="dxa"/>
            </w:tcMar>
          </w:tcPr>
          <w:p>
            <w:r>
              <w:t>____________________________________________</w:t>
            </w:r>
          </w:p>
        </w:tc>
      </w:tr>
    </w:tbl>
    <w:p>
      <w:pPr>
        <w:pStyle w:val="Heading1"/>
      </w:pPr>
      <w:r>
        <w:t>9. Which number should the guardian call?</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Emergency: </w:t>
            </w:r>
            <w:r>
              <w:t>unrelieved choking, blue/gray color, severe breathing difficulty, stroke signs, prolonged seizure, uncontrolled bleeding, major injury, or unexpected unresponsiveness—call emergency services unless the documented goals-of-care plan specifies another response.</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Prompt nurse/clinician/hospice call: </w:t>
            </w:r>
            <w:r>
              <w:t>new fever, cough or breathing change; repeated swallowing difficulty; marked intake/urine decline; new pressure injury; uncontrolled pain or agitation; vomiting/diarrhea; constipation with distress; medication error; fall; new swelling; or sudden decline.</w:t>
            </w:r>
          </w:p>
        </w:tc>
      </w:tr>
    </w:tbl>
    <w:p>
      <w:pPr>
        <w:pStyle w:val="ListBullet"/>
      </w:pPr>
      <w:r>
        <w:t>Call 911/emergency services for the red-box events unless the signed care plan or hospice instructions clearly direct a different response. Bring the advance directive and medication list.</w:t>
      </w:r>
    </w:p>
    <w:p>
      <w:pPr>
        <w:pStyle w:val="ListBullet"/>
      </w:pPr>
      <w:r>
        <w:t>Call the hospice 24-hour number first for expected end-of-life changes, new symptoms, comfort-medication questions, or uncertainty when the person is enrolled in hospice. Follow their visit and medication instructions.</w:t>
      </w:r>
    </w:p>
    <w:p>
      <w:pPr>
        <w:pStyle w:val="ListBullet"/>
      </w:pPr>
      <w:r>
        <w:t>Call home health or the prescribing clinician for non-emergency changes, equipment/skin issues, swallowing decline, medication errors or inability to complete prescribed care. If no one responds and the person is worsening, use urgent or emergency services consistent with the care plan.</w:t>
      </w:r>
    </w:p>
    <w:p>
      <w:pPr>
        <w:pStyle w:val="ListBullet"/>
      </w:pPr>
      <w:r>
        <w:t>For poison exposure or a possible medication overdose in the United States, call Poison Control at 1-800-222-1222; call 911 for collapse, seizure, breathing difficulty or inability to awaken.</w:t>
      </w:r>
    </w:p>
    <w:p>
      <w:pPr>
        <w:pStyle w:val="Heading1"/>
      </w:pPr>
      <w:r>
        <w:t>10. Guardian wellbeing, backup care, and handoff</w:t>
      </w:r>
    </w:p>
    <w:p>
      <w:pPr>
        <w:pStyle w:val="ListBullet"/>
      </w:pPr>
      <w:r>
        <w:t>Do not sacrifice your safety to complete a transfer or turn. Ask for a second trained person, equipment reassessment, home-health support, respite, or a higher level of care.</w:t>
      </w:r>
    </w:p>
    <w:p>
      <w:pPr>
        <w:pStyle w:val="ListBullet"/>
      </w:pPr>
      <w:r>
        <w:t>Make a backup plan before exhaustion becomes a crisis: name two people who can relieve the primary guardian, keep written instructions current, and arrange respite. Screen the primary guardian for sleep loss, depression, injury and burnout. [16,17]</w:t>
      </w:r>
    </w:p>
    <w:p>
      <w:pPr>
        <w:pStyle w:val="ListBullet"/>
      </w:pPr>
      <w:r>
        <w:t>At every handoff report baseline, changes, intake/output, skin, bowel status, pain/distress cues, medications/PRNs, current position, equipment issues and calls/orders. Both people should sign or initial the handoff.</w:t>
      </w:r>
    </w:p>
    <w:p>
      <w:pPr>
        <w:pStyle w:val="ListBullet"/>
      </w:pPr>
      <w:r>
        <w:t>Call the clinical team when home care is no longer safely manageable. Requesting more help or facility care is not failure; it is a safety decision.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Primary guardian</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Relief guardian 1</w:t>
            </w:r>
          </w:p>
        </w:tc>
        <w:tc>
          <w:tcPr>
            <w:tcW w:type="dxa" w:w="6660"/>
            <w:tcMar>
              <w:top w:w="80" w:type="dxa"/>
              <w:bottom w:w="80" w:type="dxa"/>
              <w:start w:w="120" w:type="dxa"/>
              <w:end w:w="120" w:type="dxa"/>
            </w:tcMar>
          </w:tcPr>
          <w:p>
            <w:r>
              <w:t>________________ / phone ________________</w:t>
            </w:r>
          </w:p>
        </w:tc>
      </w:tr>
      <w:tr>
        <w:tc>
          <w:tcPr>
            <w:tcW w:type="dxa" w:w="2700"/>
            <w:shd w:fill="F2F4F7"/>
            <w:tcMar>
              <w:top w:w="80" w:type="dxa"/>
              <w:bottom w:w="80" w:type="dxa"/>
              <w:start w:w="120" w:type="dxa"/>
              <w:end w:w="120" w:type="dxa"/>
            </w:tcMar>
          </w:tcPr>
          <w:p>
            <w:r>
              <w:rPr>
                <w:b/>
                <w:color w:val="1F4D78"/>
              </w:rPr>
              <w:t>Relief guardian 2</w:t>
            </w:r>
          </w:p>
        </w:tc>
        <w:tc>
          <w:tcPr>
            <w:tcW w:type="dxa" w:w="6660"/>
            <w:tcMar>
              <w:top w:w="80" w:type="dxa"/>
              <w:bottom w:w="80" w:type="dxa"/>
              <w:start w:w="120" w:type="dxa"/>
              <w:end w:w="120" w:type="dxa"/>
            </w:tcMar>
          </w:tcPr>
          <w:p>
            <w:r>
              <w:t>________________ / phone ________________</w:t>
            </w:r>
          </w:p>
        </w:tc>
      </w:tr>
      <w:tr>
        <w:tc>
          <w:tcPr>
            <w:tcW w:type="dxa" w:w="2700"/>
            <w:shd w:fill="F2F4F7"/>
            <w:tcMar>
              <w:top w:w="80" w:type="dxa"/>
              <w:bottom w:w="80" w:type="dxa"/>
              <w:start w:w="120" w:type="dxa"/>
              <w:end w:w="120" w:type="dxa"/>
            </w:tcMar>
          </w:tcPr>
          <w:p>
            <w:r>
              <w:rPr>
                <w:b/>
                <w:color w:val="1F4D78"/>
              </w:rPr>
              <w:t>Next respite period</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Handoff completed by / received by</w:t>
            </w:r>
          </w:p>
        </w:tc>
        <w:tc>
          <w:tcPr>
            <w:tcW w:type="dxa" w:w="6660"/>
            <w:tcMar>
              <w:top w:w="80" w:type="dxa"/>
              <w:bottom w:w="80" w:type="dxa"/>
              <w:start w:w="120" w:type="dxa"/>
              <w:end w:w="120" w:type="dxa"/>
            </w:tcMar>
          </w:tcPr>
          <w:p>
            <w:r>
              <w:t>________________ / ________________</w:t>
            </w:r>
          </w:p>
        </w:tc>
      </w:tr>
    </w:tbl>
    <w:p>
      <w:pPr>
        <w:pStyle w:val="Heading1"/>
      </w:pPr>
      <w:r>
        <w:t>Home-specific order and instruction sheet</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Goals / code status</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Allowed transfer method</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Positioning / heel-offloading schedule</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ROM program</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Food texture</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Liquid consistency</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Feeding posture / post-meal duration</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Wound plan</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Daily fluid/nutrition goal if applicable</w:t>
            </w:r>
          </w:p>
        </w:tc>
        <w:tc>
          <w:tcPr>
            <w:tcW w:type="dxa" w:w="6660"/>
            <w:tcMar>
              <w:top w:w="80" w:type="dxa"/>
              <w:bottom w:w="80" w:type="dxa"/>
              <w:start w:w="120" w:type="dxa"/>
              <w:end w:w="120" w:type="dxa"/>
            </w:tcMar>
          </w:tcPr>
          <w:p>
            <w:r>
              <w:t>____________________________________________</w:t>
            </w:r>
          </w:p>
        </w:tc>
      </w:tr>
      <w:tr>
        <w:tc>
          <w:tcPr>
            <w:tcW w:type="dxa" w:w="2700"/>
            <w:shd w:fill="F2F4F7"/>
            <w:tcMar>
              <w:top w:w="80" w:type="dxa"/>
              <w:bottom w:w="80" w:type="dxa"/>
              <w:start w:w="120" w:type="dxa"/>
              <w:end w:w="120" w:type="dxa"/>
            </w:tcMar>
          </w:tcPr>
          <w:p>
            <w:r>
              <w:rPr>
                <w:b/>
                <w:color w:val="1F4D78"/>
              </w:rPr>
              <w:t>Call thresholds / place of treatment</w:t>
            </w:r>
          </w:p>
        </w:tc>
        <w:tc>
          <w:tcPr>
            <w:tcW w:type="dxa" w:w="6660"/>
            <w:tcMar>
              <w:top w:w="80" w:type="dxa"/>
              <w:bottom w:w="80" w:type="dxa"/>
              <w:start w:w="120" w:type="dxa"/>
              <w:end w:w="120" w:type="dxa"/>
            </w:tcMar>
          </w:tcPr>
          <w:p>
            <w:r>
              <w:t>____________________________________________</w:t>
            </w:r>
          </w:p>
        </w:tc>
      </w:tr>
    </w:tbl>
    <w:p>
      <w:pPr>
        <w:pStyle w:val="Heading1"/>
      </w:pPr>
      <w:r>
        <w:t>References</w:t>
      </w:r>
    </w:p>
    <w:p>
      <w:pPr>
        <w:spacing w:after="40" w:line="240" w:lineRule="auto"/>
        <w:ind w:left="288" w:hanging="288"/>
      </w:pPr>
      <w:r>
        <w:t xml:space="preserve">1. Mitchell SL. Advanced Dementia. N Engl J Med. 2015;372:2533-2540. doi:10.1056/NEJMcp1412652. </w:t>
      </w:r>
      <w:hyperlink r:id="rId11">
        <w:r>
          <w:rPr>
            <w:color w:val="2E74B5"/>
            <w:u w:val="single"/>
          </w:rPr>
          <w:t>Source</w:t>
        </w:r>
      </w:hyperlink>
    </w:p>
    <w:p>
      <w:pPr>
        <w:spacing w:after="40" w:line="240" w:lineRule="auto"/>
        <w:ind w:left="288" w:hanging="288"/>
      </w:pPr>
      <w:r>
        <w:t xml:space="preserve">2. Walsh SC, Murphy E, Devane D, et al. Palliative care interventions in advanced dementia. Cochrane Database Syst Rev. 2021;9:CD011513. </w:t>
      </w:r>
      <w:hyperlink r:id="rId12">
        <w:r>
          <w:rPr>
            <w:color w:val="2E74B5"/>
            <w:u w:val="single"/>
          </w:rPr>
          <w:t>Source</w:t>
        </w:r>
      </w:hyperlink>
    </w:p>
    <w:p>
      <w:pPr>
        <w:spacing w:after="40" w:line="240" w:lineRule="auto"/>
        <w:ind w:left="288" w:hanging="288"/>
      </w:pPr>
      <w:r>
        <w:t xml:space="preserve">3. American Psychiatric Association. Diagnostic and Statistical Manual of Mental Disorders, 5th ed., text revision. 2022. </w:t>
      </w:r>
      <w:hyperlink r:id="rId13">
        <w:r>
          <w:rPr>
            <w:color w:val="2E74B5"/>
            <w:u w:val="single"/>
          </w:rPr>
          <w:t>Source</w:t>
        </w:r>
      </w:hyperlink>
    </w:p>
    <w:p>
      <w:pPr>
        <w:spacing w:after="40" w:line="240" w:lineRule="auto"/>
        <w:ind w:left="288" w:hanging="288"/>
      </w:pPr>
      <w:r>
        <w:t xml:space="preserve">4. Serrano-Pozo A, Escott-Price V, Grinberg LT, et al. Alzheimer's Disease. Lancet. 2026;407:2241-2262. </w:t>
      </w:r>
      <w:hyperlink r:id="rId14">
        <w:r>
          <w:rPr>
            <w:color w:val="2E74B5"/>
            <w:u w:val="single"/>
          </w:rPr>
          <w:t>Source</w:t>
        </w:r>
      </w:hyperlink>
    </w:p>
    <w:p>
      <w:pPr>
        <w:spacing w:after="40" w:line="240" w:lineRule="auto"/>
        <w:ind w:left="288" w:hanging="288"/>
      </w:pPr>
      <w:r>
        <w:t xml:space="preserve">5. Masters CL, Bateman R, Blennow K, et al. Alzheimer's disease. Nat Rev Dis Primers. 2015;1:15056. </w:t>
      </w:r>
      <w:hyperlink r:id="rId15">
        <w:r>
          <w:rPr>
            <w:color w:val="2E74B5"/>
            <w:u w:val="single"/>
          </w:rPr>
          <w:t>Source</w:t>
        </w:r>
      </w:hyperlink>
    </w:p>
    <w:p>
      <w:pPr>
        <w:spacing w:after="40" w:line="240" w:lineRule="auto"/>
        <w:ind w:left="288" w:hanging="288"/>
      </w:pPr>
      <w:r>
        <w:t xml:space="preserve">6. American Geriatrics Society. Feeding tubes in advanced dementia position statement. J Am Geriatr Soc. 2014;62:1590-1593. </w:t>
      </w:r>
      <w:hyperlink r:id="rId16">
        <w:r>
          <w:rPr>
            <w:color w:val="2E74B5"/>
            <w:u w:val="single"/>
          </w:rPr>
          <w:t>Source</w:t>
        </w:r>
      </w:hyperlink>
    </w:p>
    <w:p>
      <w:pPr>
        <w:spacing w:after="40" w:line="240" w:lineRule="auto"/>
        <w:ind w:left="288" w:hanging="288"/>
      </w:pPr>
      <w:r>
        <w:t xml:space="preserve">7. Chiong W, Tsou AY, Simmons Z, et al. Ethical Considerations in Dementia Diagnosis and Care: AAN Position Statement. Neurology. 2021;97:80-89. </w:t>
      </w:r>
      <w:hyperlink r:id="rId17">
        <w:r>
          <w:rPr>
            <w:color w:val="2E74B5"/>
            <w:u w:val="single"/>
          </w:rPr>
          <w:t>Source</w:t>
        </w:r>
      </w:hyperlink>
    </w:p>
    <w:p>
      <w:pPr>
        <w:spacing w:after="40" w:line="240" w:lineRule="auto"/>
        <w:ind w:left="288" w:hanging="288"/>
      </w:pPr>
      <w:r>
        <w:t xml:space="preserve">8. Taylor LP, Besbris JM, Graf WD, et al. Clinical Guidance in Neuropalliative Care: AAN Position Statement. Neurology. 2022;98:409-416. </w:t>
      </w:r>
      <w:hyperlink r:id="rId18">
        <w:r>
          <w:rPr>
            <w:color w:val="2E74B5"/>
            <w:u w:val="single"/>
          </w:rPr>
          <w:t>Source</w:t>
        </w:r>
      </w:hyperlink>
    </w:p>
    <w:p>
      <w:pPr>
        <w:spacing w:after="40" w:line="240" w:lineRule="auto"/>
        <w:ind w:left="288" w:hanging="288"/>
      </w:pPr>
      <w:r>
        <w:t xml:space="preserve">9. Eisenmann Y, Golla H, Schmidt H, et al. Palliative Care in Advanced Dementia. Front Psychiatry. 2020;11:699. </w:t>
      </w:r>
      <w:hyperlink r:id="rId19">
        <w:r>
          <w:rPr>
            <w:color w:val="2E74B5"/>
            <w:u w:val="single"/>
          </w:rPr>
          <w:t>Source</w:t>
        </w:r>
      </w:hyperlink>
    </w:p>
    <w:p>
      <w:pPr>
        <w:spacing w:after="40" w:line="240" w:lineRule="auto"/>
        <w:ind w:left="288" w:hanging="288"/>
      </w:pPr>
      <w:r>
        <w:t xml:space="preserve">10. Kluger BM, Hudson P, Hanson LC, et al. Palliative care to support adults with neurological disease. Lancet Neurol. 2023;22:619-631. </w:t>
      </w:r>
      <w:hyperlink r:id="rId20">
        <w:r>
          <w:rPr>
            <w:color w:val="2E74B5"/>
            <w:u w:val="single"/>
          </w:rPr>
          <w:t>Source</w:t>
        </w:r>
      </w:hyperlink>
    </w:p>
    <w:p>
      <w:pPr>
        <w:spacing w:after="40" w:line="240" w:lineRule="auto"/>
        <w:ind w:left="288" w:hanging="288"/>
      </w:pPr>
      <w:r>
        <w:t xml:space="preserve">11. Su YJ, Zhou SJ, Liu W, et al. Evidence mapping of nutritional-management guidelines in dementia. J Clin Nurs. 2026;35:2055-2070. </w:t>
      </w:r>
      <w:hyperlink r:id="rId21">
        <w:r>
          <w:rPr>
            <w:color w:val="2E74B5"/>
            <w:u w:val="single"/>
          </w:rPr>
          <w:t>Source</w:t>
        </w:r>
      </w:hyperlink>
    </w:p>
    <w:p>
      <w:pPr>
        <w:spacing w:after="40" w:line="240" w:lineRule="auto"/>
        <w:ind w:left="288" w:hanging="288"/>
      </w:pPr>
      <w:r>
        <w:t xml:space="preserve">12. Wang C, Roberts E, Smith G, et al. Tools for deprescribing in severe dementia: a scoping review. Int J Geriatr Psychiatry. 2023;38:e5959. </w:t>
      </w:r>
      <w:hyperlink r:id="rId22">
        <w:r>
          <w:rPr>
            <w:color w:val="2E74B5"/>
            <w:u w:val="single"/>
          </w:rPr>
          <w:t>Source</w:t>
        </w:r>
      </w:hyperlink>
    </w:p>
    <w:p>
      <w:pPr>
        <w:spacing w:after="40" w:line="240" w:lineRule="auto"/>
        <w:ind w:left="288" w:hanging="288"/>
      </w:pPr>
      <w:r>
        <w:t xml:space="preserve">13. Saude A, Bouca-Machado R, Leitao M, et al. Efficacy and safety of physiotherapy in people with dementia. J Alzheimers Dis. 2023;94:909-917. </w:t>
      </w:r>
      <w:hyperlink r:id="rId23">
        <w:r>
          <w:rPr>
            <w:color w:val="2E74B5"/>
            <w:u w:val="single"/>
          </w:rPr>
          <w:t>Source</w:t>
        </w:r>
      </w:hyperlink>
    </w:p>
    <w:p>
      <w:pPr>
        <w:spacing w:after="40" w:line="240" w:lineRule="auto"/>
        <w:ind w:left="288" w:hanging="288"/>
      </w:pPr>
      <w:r>
        <w:t xml:space="preserve">14. Hall AJ, Manning F, Goodwin V. Key considerations in physical rehabilitation for advanced dementia. IJERPH. 2023;20:4197. </w:t>
      </w:r>
      <w:hyperlink r:id="rId24">
        <w:r>
          <w:rPr>
            <w:color w:val="2E74B5"/>
            <w:u w:val="single"/>
          </w:rPr>
          <w:t>Source</w:t>
        </w:r>
      </w:hyperlink>
    </w:p>
    <w:p>
      <w:pPr>
        <w:spacing w:after="40" w:line="240" w:lineRule="auto"/>
        <w:ind w:left="288" w:hanging="288"/>
      </w:pPr>
      <w:r>
        <w:t xml:space="preserve">15. Edvardsson D, Winblad B, Sandman PO. Person-centred care of people with severe Alzheimer's disease. Lancet Neurol. 2008;7:362-367. </w:t>
      </w:r>
      <w:hyperlink r:id="rId25">
        <w:r>
          <w:rPr>
            <w:color w:val="2E74B5"/>
            <w:u w:val="single"/>
          </w:rPr>
          <w:t>Source</w:t>
        </w:r>
      </w:hyperlink>
    </w:p>
    <w:p>
      <w:pPr>
        <w:spacing w:after="40" w:line="240" w:lineRule="auto"/>
        <w:ind w:left="288" w:hanging="288"/>
      </w:pPr>
      <w:r>
        <w:t xml:space="preserve">16. Sorensen S, Duberstein P, Gill D, Pinquart M. Dementia care: mental health effects and interventions. Lancet Neurol. 2006;5:961-973. </w:t>
      </w:r>
      <w:hyperlink r:id="rId26">
        <w:r>
          <w:rPr>
            <w:color w:val="2E74B5"/>
            <w:u w:val="single"/>
          </w:rPr>
          <w:t>Source</w:t>
        </w:r>
      </w:hyperlink>
    </w:p>
    <w:p>
      <w:pPr>
        <w:spacing w:after="40" w:line="240" w:lineRule="auto"/>
        <w:ind w:left="288" w:hanging="288"/>
      </w:pPr>
      <w:r>
        <w:t xml:space="preserve">17. Arvanitakis Z, Shah RC, Bennett DA. Diagnosis and Management of Dementia. JAMA. 2019;322:1589-1599. </w:t>
      </w:r>
      <w:hyperlink r:id="rId27">
        <w:r>
          <w:rPr>
            <w:color w:val="2E74B5"/>
            <w:u w:val="single"/>
          </w:rPr>
          <w:t>Source</w:t>
        </w:r>
      </w:hyperlink>
    </w:p>
    <w:p>
      <w:pPr>
        <w:spacing w:after="40" w:line="240" w:lineRule="auto"/>
        <w:ind w:left="288" w:hanging="288"/>
      </w:pPr>
      <w:r>
        <w:t xml:space="preserve">18. LeDoux CV, Lindrooth RC, Seidler KJ, et al. Impact of home-health physical therapy in dementia. J Am Geriatr Soc. 2020;68:867-871. </w:t>
      </w:r>
      <w:hyperlink r:id="rId28">
        <w:r>
          <w:rPr>
            <w:color w:val="2E74B5"/>
            <w:u w:val="single"/>
          </w:rPr>
          <w:t>Source</w:t>
        </w:r>
      </w:hyperlink>
    </w:p>
    <w:p>
      <w:pPr>
        <w:spacing w:after="40" w:line="240" w:lineRule="auto"/>
        <w:ind w:left="288" w:hanging="288"/>
      </w:pPr>
      <w:r>
        <w:t xml:space="preserve">19. Yokogawa M, Taniguchi Y, Yoneda Y. Physiotherapy approaches to encourage activity in older adults with dementia. PLoS One. 2023;18:e0289290. </w:t>
      </w:r>
      <w:hyperlink r:id="rId29">
        <w:r>
          <w:rPr>
            <w:color w:val="2E74B5"/>
            <w:u w:val="single"/>
          </w:rPr>
          <w:t>Source</w:t>
        </w:r>
      </w:hyperlink>
    </w:p>
    <w:p>
      <w:pPr>
        <w:spacing w:after="40" w:line="240" w:lineRule="auto"/>
        <w:ind w:left="288" w:hanging="288"/>
      </w:pPr>
      <w:r>
        <w:t xml:space="preserve">20. Cruz-Jentoft AJ, Volkert D. Malnutrition in Older Adults. N Engl J Med. 2025;392:2244-2255. </w:t>
      </w:r>
      <w:hyperlink r:id="rId30">
        <w:r>
          <w:rPr>
            <w:color w:val="2E74B5"/>
            <w:u w:val="single"/>
          </w:rPr>
          <w:t>Source</w:t>
        </w:r>
      </w:hyperlink>
    </w:p>
    <w:p>
      <w:pPr>
        <w:spacing w:after="40" w:line="240" w:lineRule="auto"/>
        <w:ind w:left="288" w:hanging="288"/>
      </w:pPr>
      <w:r>
        <w:t xml:space="preserve">21. National Institute on Aging. Care in the Last Stages of Alzheimer's Disease. Updated 2024. </w:t>
      </w:r>
      <w:hyperlink r:id="rId31">
        <w:r>
          <w:rPr>
            <w:color w:val="2E74B5"/>
            <w:u w:val="single"/>
          </w:rPr>
          <w:t>Source</w:t>
        </w:r>
      </w:hyperlink>
    </w:p>
    <w:p>
      <w:pPr>
        <w:spacing w:after="40" w:line="240" w:lineRule="auto"/>
        <w:ind w:left="288" w:hanging="288"/>
      </w:pPr>
      <w:r>
        <w:t xml:space="preserve">22. American Speech-Language-Hearing Association. Adult Dysphagia Practice Portal. </w:t>
      </w:r>
      <w:hyperlink r:id="rId32">
        <w:r>
          <w:rPr>
            <w:color w:val="2E74B5"/>
            <w:u w:val="single"/>
          </w:rPr>
          <w:t>Source</w:t>
        </w:r>
      </w:hyperlink>
    </w:p>
    <w:p>
      <w:pPr>
        <w:spacing w:after="40" w:line="240" w:lineRule="auto"/>
        <w:ind w:left="288" w:hanging="288"/>
      </w:pPr>
      <w:r>
        <w:t xml:space="preserve">23. International Guideline. Repositioning and Mobilization; Support Surfaces. 4th edition online guidance. </w:t>
      </w:r>
      <w:hyperlink r:id="rId33">
        <w:r>
          <w:rPr>
            <w:color w:val="2E74B5"/>
            <w:u w:val="single"/>
          </w:rPr>
          <w:t>Source</w:t>
        </w:r>
      </w:hyperlink>
    </w:p>
    <w:p>
      <w:pPr>
        <w:spacing w:after="40" w:line="240" w:lineRule="auto"/>
        <w:ind w:left="288" w:hanging="288"/>
      </w:pPr>
      <w:r>
        <w:t xml:space="preserve">24. Centers for Medicare &amp; Medicaid Services. Hospice—Alzheimer's Disease and Related Disorders LCD L34567. </w:t>
      </w:r>
      <w:hyperlink r:id="rId34">
        <w:r>
          <w:rPr>
            <w:color w:val="2E74B5"/>
            <w:u w:val="single"/>
          </w:rPr>
          <w:t>Source</w:t>
        </w:r>
      </w:hyperlink>
    </w:p>
    <w:p>
      <w:pPr>
        <w:spacing w:after="40" w:line="240" w:lineRule="auto"/>
        <w:ind w:left="288" w:hanging="288"/>
      </w:pPr>
      <w:r>
        <w:t xml:space="preserve">25. National Institute on Aging. Common Medical Problems in Alzheimer's Disease: Information for Caregivers. Updated 2024. </w:t>
      </w:r>
      <w:hyperlink r:id="rId35">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HOME GUARDIAN GUIDE — LATE-STAGE ALZHEIMER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56/NEJMcp1412652" TargetMode="External"/><Relationship Id="rId12" Type="http://schemas.openxmlformats.org/officeDocument/2006/relationships/hyperlink" Target="https://doi.org/10.1002/14651858.CD011513.pub3" TargetMode="External"/><Relationship Id="rId13" Type="http://schemas.openxmlformats.org/officeDocument/2006/relationships/hyperlink" Target="https://www.appi.org/products/dsm" TargetMode="External"/><Relationship Id="rId14" Type="http://schemas.openxmlformats.org/officeDocument/2006/relationships/hyperlink" Target="https://pubmed.ncbi.nlm.nih.gov/42208565" TargetMode="External"/><Relationship Id="rId15" Type="http://schemas.openxmlformats.org/officeDocument/2006/relationships/hyperlink" Target="https://doi.org/10.1038/nrdp.2015.56" TargetMode="External"/><Relationship Id="rId16" Type="http://schemas.openxmlformats.org/officeDocument/2006/relationships/hyperlink" Target="https://doi.org/10.1111/jgs.12924" TargetMode="External"/><Relationship Id="rId17" Type="http://schemas.openxmlformats.org/officeDocument/2006/relationships/hyperlink" Target="https://doi.org/10.1212/WNL.0000000000012079" TargetMode="External"/><Relationship Id="rId18" Type="http://schemas.openxmlformats.org/officeDocument/2006/relationships/hyperlink" Target="https://doi.org/10.1212/WNL.0000000000200063" TargetMode="External"/><Relationship Id="rId19" Type="http://schemas.openxmlformats.org/officeDocument/2006/relationships/hyperlink" Target="https://doi.org/10.3389/fpsyt.2020.00699" TargetMode="External"/><Relationship Id="rId20" Type="http://schemas.openxmlformats.org/officeDocument/2006/relationships/hyperlink" Target="https://pubmed.ncbi.nlm.nih.gov/37353280" TargetMode="External"/><Relationship Id="rId21" Type="http://schemas.openxmlformats.org/officeDocument/2006/relationships/hyperlink" Target="https://doi.org/10.1111/jocn.17844" TargetMode="External"/><Relationship Id="rId22" Type="http://schemas.openxmlformats.org/officeDocument/2006/relationships/hyperlink" Target="https://doi.org/10.1002/gps.5959" TargetMode="External"/><Relationship Id="rId23" Type="http://schemas.openxmlformats.org/officeDocument/2006/relationships/hyperlink" Target="https://pubmed.ncbi.nlm.nih.gov/37393508" TargetMode="External"/><Relationship Id="rId24" Type="http://schemas.openxmlformats.org/officeDocument/2006/relationships/hyperlink" Target="https://doi.org/10.3390/ijerph20054197" TargetMode="External"/><Relationship Id="rId25" Type="http://schemas.openxmlformats.org/officeDocument/2006/relationships/hyperlink" Target="https://pubmed.ncbi.nlm.nih.gov/18339351" TargetMode="External"/><Relationship Id="rId26" Type="http://schemas.openxmlformats.org/officeDocument/2006/relationships/hyperlink" Target="https://pubmed.ncbi.nlm.nih.gov/17052663" TargetMode="External"/><Relationship Id="rId27" Type="http://schemas.openxmlformats.org/officeDocument/2006/relationships/hyperlink" Target="https://doi.org/10.1001/jama.2019.4782" TargetMode="External"/><Relationship Id="rId28" Type="http://schemas.openxmlformats.org/officeDocument/2006/relationships/hyperlink" Target="https://pubmed.ncbi.nlm.nih.gov/31930736" TargetMode="External"/><Relationship Id="rId29" Type="http://schemas.openxmlformats.org/officeDocument/2006/relationships/hyperlink" Target="https://doi.org/10.1371/journal.pone.0289290" TargetMode="External"/><Relationship Id="rId30" Type="http://schemas.openxmlformats.org/officeDocument/2006/relationships/hyperlink" Target="https://doi.org/10.1056/NEJMra2412275" TargetMode="External"/><Relationship Id="rId31" Type="http://schemas.openxmlformats.org/officeDocument/2006/relationships/hyperlink" Target="https://www.nia.nih.gov/health/alzheimers-caregiving/care-last-stages-alzheimers-disease" TargetMode="External"/><Relationship Id="rId32" Type="http://schemas.openxmlformats.org/officeDocument/2006/relationships/hyperlink" Target="https://www.asha.org/practice-portal/clinical-topics/adult-dysphagia/" TargetMode="External"/><Relationship Id="rId33" Type="http://schemas.openxmlformats.org/officeDocument/2006/relationships/hyperlink" Target="https://www.internationalguideline.com/repositioning" TargetMode="External"/><Relationship Id="rId34" Type="http://schemas.openxmlformats.org/officeDocument/2006/relationships/hyperlink" Target="https://www.cms.gov/medicare-coverage-database/view/lcd.aspx?LCDId=34567" TargetMode="External"/><Relationship Id="rId35" Type="http://schemas.openxmlformats.org/officeDocument/2006/relationships/hyperlink" Target="https://www.nia.nih.gov/health/alzheimers-caregiving/common-medical-problems-alzheimers-disease-information-caregiv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