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Late-Stage Alzheimer's Clinical Record</w:t>
      </w:r>
    </w:p>
    <w:p>
      <w:pPr>
        <w:pStyle w:val="Subtitle"/>
      </w:pPr>
      <w:r>
        <w:t>Educational case • home-based geriatrics/palliative follow-up • not a real patient chart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E5"/>
          </w:tcPr>
          <w:p>
            <w:r>
              <w:rPr>
                <w:rFonts w:ascii="Calibri" w:hAnsi="Calibri"/>
                <w:b/>
                <w:color w:val="7A5A00"/>
                <w:sz w:val="22"/>
              </w:rPr>
              <w:t xml:space="preserve">Important: </w:t>
            </w:r>
            <w:r>
              <w:t>This is a fictional portfolio derived from the supplied literature and current clinical guidance. Replace all synthetic assumptions with observed findings. It is not a diagnosis, prescription, therapy order, or individualized medical plan.</w:t>
            </w:r>
          </w:p>
        </w:tc>
      </w:tr>
    </w:tbl>
    <w:p>
      <w:pPr>
        <w:pStyle w:val="Heading1"/>
      </w:pPr>
      <w:r>
        <w:t>Encounter identification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Patient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Margaret Lewis (synthetic case)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Age / sex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84-year-old woman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Visit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Home-based follow-up for severe Alzheimer's disease and total care dependence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Informants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Daughter/health-care proxy and paid caregiver; patient cannot provide reliable history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Date / clinician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[Insert date] / [Insert clinician]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Goals stated by proxy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Comfort, familiar surroundings, avoidance of burdensome interventions when consistent with prior wishes</w:t>
            </w:r>
          </w:p>
        </w:tc>
      </w:tr>
    </w:tbl>
    <w:p>
      <w:pPr>
        <w:pStyle w:val="Heading1"/>
      </w:pPr>
      <w:r>
        <w:t>Chief concern</w:t>
      </w:r>
    </w:p>
    <w:p>
      <w:r>
        <w:t>Progressive loss of communication, swallowing, mobility, and self-care. The patient is now almost entirely bedbound, completely dependent for activities of daily living, doubly incontinent, and able to take only small amounts by careful hand feeding.</w:t>
      </w:r>
    </w:p>
    <w:p>
      <w:pPr>
        <w:pStyle w:val="Heading1"/>
      </w:pPr>
      <w:r>
        <w:t>History of present illness</w:t>
      </w:r>
    </w:p>
    <w:p>
      <w:r>
        <w:t>The patient has advanced Alzheimer's dementia with profound global cognitive impairment. Over approximately 12 months she progressed from assisted transfers and a few recognizable words to minimal vocalization, inconsistent recognition of family, inability to follow commands, loss of independent sitting/standing, and near-continuous bed confinement. She cannot report pain or symptoms reliably. This pattern is consistent with GDS 7 / FAST 7, although the precise FAST substage requires direct examination. [1–5]</w:t>
      </w:r>
    </w:p>
    <w:p>
      <w:r>
        <w:t>Caregiver reports prolonged mealtimes, pocketing, occasional cough with sips, and declining intake. She is fully hand-fed using the texture and liquid consistency previously recommended by speech-language pathology; the actual prescription was not supplied and must be confirmed. There has been no acute choking event today. Dysphagia and eating problems are common and prognostically important in advanced dementia. [1,6,11,20–22]</w:t>
      </w:r>
    </w:p>
    <w:p>
      <w:r>
        <w:t>She requires two-person assistance or mechanical-lift support for transfers, full continence care, and repositioning. Synthetic example: persistent sacral redness that blanches and intact heels; no open wound. This must be replaced by actual skin examination. Immobility raises risk for pressure injury, contracture, pain, constipation, infection, and secretion retention. [2,5,13,14,23]</w:t>
      </w:r>
    </w:p>
    <w:p>
      <w:pPr>
        <w:pStyle w:val="Heading1"/>
      </w:pPr>
      <w:r>
        <w:t>Current functional and symptom profile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750"/>
        <w:gridCol w:w="2800"/>
        <w:gridCol w:w="2500"/>
        <w:gridCol w:w="231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Domain</w:t>
            </w:r>
          </w:p>
        </w:tc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synthetic status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Care required</w:t>
            </w:r>
          </w:p>
        </w:tc>
        <w:tc>
          <w:tcPr>
            <w:tcW w:type="dxa" w:w="23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Priority risk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Communication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Rare nonpurposeful words/vocalizations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Observe face, body, breathing and behavior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Unrecognized pain/distress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Mobility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Almost completely bedbound; cannot walk or transfer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Two trained caregivers or prescribed lift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Falls, injury, contracture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Feeding/swallowing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Fully hand-fed; pocketing/cough episodes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Prescribed texture; slow one-to-one feeding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Choking, aspiration, dehydration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Continence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Urinary and fecal incontinence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Prompt hygiene and barrier protection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Moisture injury, UTI, constipation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Skin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Very high risk; reported sacral redness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Head-to-toe checks and individualized repositioning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Pressure injury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ADLs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Total assistance for bathing, dressing, grooming, toileting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Preserve comfort and dignity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Caregiver injury/burnout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Behavior/sleep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Intermittent grimacing, moaning, nighttime wakefulness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Search for pain, illness, retention, environment triggers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Delirium, undertreated symptoms</w:t>
            </w:r>
          </w:p>
        </w:tc>
      </w:tr>
    </w:tbl>
    <w:p>
      <w:pPr>
        <w:pStyle w:val="Heading1"/>
      </w:pPr>
      <w:r>
        <w:t>Medical, medication, and goals-of-care history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Alzheimer diagnosis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Established; supporting biomarker/imaging details not supplied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Comorbidities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supplied—reconcile cardiac, pulmonary, renal, diabetes, osteoporosis, seizure, mood, and prior aspiration history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Medication list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supplied—reconcile scheduled, PRN, OTC, supplements, routes, crushability, and last doses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Allergies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supplied—confirm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Nutrition / weight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weight trend, oral intake percentage, dental status, and prescribed diet not supplied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Equipment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Synthetic example: hospital bed and pressure-redistributing mattress; verify lift, wheelchair, cushions, heel offloading, suction/oxygen orders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Advance directives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Proxy reports comfort priority; actual directive, code status, hospitalization/antibiotic/feeding decisions must be reviewed and documented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Hospice/palliative care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Eligibility and enrollment status not supplied; assess promptly</w:t>
            </w:r>
          </w:p>
        </w:tc>
      </w:tr>
    </w:tbl>
    <w:p>
      <w:pPr>
        <w:pStyle w:val="Heading1"/>
      </w:pPr>
      <w:r>
        <w:t>Relevant review of systems</w:t>
      </w:r>
    </w:p>
    <w:p>
      <w:pPr>
        <w:pStyle w:val="ListBullet"/>
      </w:pPr>
      <w:r>
        <w:t>Positive by caregiver: profound memory/recognition loss, minimal speech, dysphagia, poor intake, immobility, double incontinence, rigidity, fragmented sleep, intermittent grimacing/moaning.</w:t>
      </w:r>
    </w:p>
    <w:p>
      <w:pPr>
        <w:pStyle w:val="ListBullet"/>
      </w:pPr>
      <w:r>
        <w:t>Negative today by report: witnessed choking requiring rescue, vomiting, new focal weakness, seizure, fall, open pressure wound, or sustained fever.</w:t>
      </w:r>
    </w:p>
    <w:p>
      <w:pPr>
        <w:pStyle w:val="ListBullet"/>
      </w:pPr>
      <w:r>
        <w:t>Not reliably assessed: pain location, chest symptoms, urinary symptoms, nausea, thirst, dyspnea, depression; use observation and objective examination.</w:t>
      </w:r>
    </w:p>
    <w:p>
      <w:pPr>
        <w:pStyle w:val="Heading1"/>
      </w:pPr>
      <w:r>
        <w:t>Examination and measurements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E5"/>
          </w:tcPr>
          <w:p>
            <w:r>
              <w:rPr>
                <w:rFonts w:ascii="Calibri" w:hAnsi="Calibri"/>
                <w:b/>
                <w:color w:val="7A5A00"/>
                <w:sz w:val="22"/>
              </w:rPr>
              <w:t xml:space="preserve">Documentation boundary: </w:t>
            </w:r>
            <w:r>
              <w:t>No real vital signs or physical examination were supplied. The entries below are placeholders or explicitly synthetic examples.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Vitals / anthropometrics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Record temperature, BP, pulse, respirations, oxygen saturation, weight or mid-arm trend; values not supplied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General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Synthetic: frail older adult in bed, opens eyes to voice, no sustained verbal response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Neurologic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Synthetic: profound cognitive impairment, generalized rigidity, spontaneous movement limited; formal focal exam required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Respiratory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Observe work of breathing, cough, secretions, lung sounds, oxygen need; not supplied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Oral/swallow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Inspect mouth, dentition, moisture, thrush, pocketing; swallowing evaluation not supplied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Skin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Perform full check including sacrum, hips, heels, ankles, elbows, ears and device sites; stage/document any wound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Pain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Use a validated observational pain tool selected by the clinical team; baseline score not supplied</w:t>
            </w:r>
          </w:p>
        </w:tc>
      </w:tr>
    </w:tbl>
    <w:p>
      <w:pPr>
        <w:pStyle w:val="Heading1"/>
      </w:pPr>
      <w:r>
        <w:t>Assessment</w:t>
      </w:r>
    </w:p>
    <w:p>
      <w:pPr>
        <w:pStyle w:val="ListBullet"/>
      </w:pPr>
      <w:r>
        <w:t>Severe/late-stage major neurocognitive disorder attributed to Alzheimer's disease, with total functional dependence; likely GDS 7 / FAST 7.</w:t>
      </w:r>
    </w:p>
    <w:p>
      <w:pPr>
        <w:pStyle w:val="ListBullet"/>
      </w:pPr>
      <w:r>
        <w:t>Near-bedbound state with very high risk of pressure injury, contracture, venous stasis, secretion retention, and caregiver handling injury.</w:t>
      </w:r>
    </w:p>
    <w:p>
      <w:pPr>
        <w:pStyle w:val="ListBullet"/>
      </w:pPr>
      <w:r>
        <w:t>Dysphagia and nutritional decline with aspiration/choking risk; oral intake plan requires SLP/clinician confirmation.</w:t>
      </w:r>
    </w:p>
    <w:p>
      <w:pPr>
        <w:pStyle w:val="ListBullet"/>
      </w:pPr>
      <w:r>
        <w:t>Inability to self-report with possible pain or distress manifested by grimacing, moaning, resistance, or sleep change.</w:t>
      </w:r>
    </w:p>
    <w:p>
      <w:pPr>
        <w:pStyle w:val="ListBullet"/>
      </w:pPr>
      <w:r>
        <w:t>High risk of acute superimposed illness/delirium, particularly pneumonia, UTI, constipation/impaction, dehydration, medication effects, and skin infection.</w:t>
      </w:r>
    </w:p>
    <w:p>
      <w:pPr>
        <w:pStyle w:val="ListBullet"/>
      </w:pPr>
      <w:r>
        <w:t>Need for explicit goals-of-care, medication-burden review, and palliative/hospice assessment.</w:t>
      </w:r>
    </w:p>
    <w:p>
      <w:pPr>
        <w:pStyle w:val="Heading1"/>
      </w:pPr>
      <w:r>
        <w:t>Plan for treating team and surrogate</w:t>
      </w:r>
    </w:p>
    <w:p>
      <w:pPr>
        <w:pStyle w:val="ListBullet"/>
      </w:pPr>
      <w:r>
        <w:t>Confirm stage and reversible contributors; obtain collateral timeline, full exam, medication reconciliation, weight/intake trend, skin assessment, oral/dental evaluation, and appropriate labs/imaging only when results would change goal-concordant care.</w:t>
      </w:r>
    </w:p>
    <w:p>
      <w:pPr>
        <w:pStyle w:val="ListBullet"/>
      </w:pPr>
      <w:r>
        <w:t>Arrange palliative-care and hospice evaluation. FAST ≥7 supports consideration but does not by itself guarantee hospice eligibility; CMS criteria also consider comorbid/secondary conditions and documented prognosis. [1,9,10,24]</w:t>
      </w:r>
    </w:p>
    <w:p>
      <w:pPr>
        <w:pStyle w:val="ListBullet"/>
      </w:pPr>
      <w:r>
        <w:t>Document proxy, capacity, code status, transfer/hospitalization preferences, infection treatment preferences, and hand-feeding/tube-feeding decisions. Revisit decisions as condition changes. [1,2,6–10]</w:t>
      </w:r>
    </w:p>
    <w:p>
      <w:pPr>
        <w:pStyle w:val="ListBullet"/>
      </w:pPr>
      <w:r>
        <w:t>Request SLP reassessment for dysphagia and explicit food/liquid/positioning plan. Continue careful hand feeding for comfort if consistent with goals; do not improvise texture, thickeners, straws, or crushed medications. [1,6,11,20–22]</w:t>
      </w:r>
    </w:p>
    <w:p>
      <w:pPr>
        <w:pStyle w:val="ListBullet"/>
      </w:pPr>
      <w:r>
        <w:t>Request PT/OT/home-health assessment for positioning, passive or active-assisted range of motion, contracture comfort, equipment, and hands-on caregiver transfer training. Exercises and transfer method require individualized clearance. [13,14,18,19]</w:t>
      </w:r>
    </w:p>
    <w:p>
      <w:pPr>
        <w:pStyle w:val="ListBullet"/>
      </w:pPr>
      <w:r>
        <w:t>Use individualized pressure-injury plan: appropriate support surface, heel offloading, moisture management, nutrition review, skin checks, and repositioning schedule based on tolerance and tissue response—not a universal timer. [5,23]</w:t>
      </w:r>
    </w:p>
    <w:p>
      <w:pPr>
        <w:pStyle w:val="ListBullet"/>
      </w:pPr>
      <w:r>
        <w:t>Use nonpharmacologic comfort measures first for agitation; screen for pain, constipation, urinary retention, infection, hunger/thirst, sleep disruption and overstimulation. Review antipsychotic/benzodiazepine risk before use. [1,4,7,8,12,15]</w:t>
      </w:r>
    </w:p>
    <w:p>
      <w:pPr>
        <w:pStyle w:val="ListBullet"/>
      </w:pPr>
      <w:r>
        <w:t>Conduct goal-based deprescribing review. Never stop or crush medication without prescriber/pharmacist review; consider swallowing route, time-to-benefit, adverse effects, withdrawal risk, and whether each drug improves comfort or meaningful function. [4,8,12]</w:t>
      </w:r>
    </w:p>
    <w:p>
      <w:pPr>
        <w:pStyle w:val="Heading1"/>
      </w:pPr>
      <w:r>
        <w:t>Urgent escalation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r>
              <w:rPr>
                <w:rFonts w:ascii="Calibri" w:hAnsi="Calibri"/>
                <w:b/>
                <w:color w:val="9B1C1C"/>
                <w:sz w:val="22"/>
              </w:rPr>
              <w:t xml:space="preserve">Call emergency services now for: </w:t>
            </w:r>
            <w:r>
              <w:t>unrelieved airway obstruction/choking, blue or gray color, severe breathing difficulty, new stroke signs, prolonged seizure, uncontrolled bleeding, major injury, or unresponsiveness outside the expected care plan.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E5"/>
          </w:tcPr>
          <w:p>
            <w:r>
              <w:rPr>
                <w:rFonts w:ascii="Calibri" w:hAnsi="Calibri"/>
                <w:b/>
                <w:color w:val="7A5A00"/>
                <w:sz w:val="22"/>
              </w:rPr>
              <w:t xml:space="preserve">Call the nurse/clinician promptly for: </w:t>
            </w:r>
            <w:r>
              <w:t>new fever or breathing change, repeated cough/choking, marked drop in intake or urine, new/worsening wound, black stool, persistent vomiting, no bowel movement with distress, new agitation or drowsiness, suspected pain, or any sudden change from baseline. Follow the documented hospice/on-call plan when enrolled.</w:t>
            </w:r>
          </w:p>
        </w:tc>
      </w:tr>
    </w:tbl>
    <w:p>
      <w:pPr>
        <w:pStyle w:val="Heading1"/>
      </w:pPr>
      <w:r>
        <w:t>Signatures / orders to complete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Clinician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Proxy / caregiver teach-back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Completed ☐  Needs reinforcement ☐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Diet / liquid order confirmed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Transfer / ROM order confirmed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Wound / turning plan confirmed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Medication reconciliation completed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Yes ☐  No ☐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Next review / on-call number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________________________________</w:t>
            </w:r>
          </w:p>
        </w:tc>
      </w:tr>
    </w:tbl>
    <w:p>
      <w:pPr>
        <w:pStyle w:val="Heading1"/>
      </w:pPr>
      <w:r>
        <w:t>References</w:t>
      </w:r>
    </w:p>
    <w:p>
      <w:pPr>
        <w:spacing w:after="40" w:line="240" w:lineRule="auto"/>
        <w:ind w:left="288" w:hanging="288"/>
      </w:pPr>
      <w:r>
        <w:t xml:space="preserve">1. Mitchell SL. Advanced Dementia. N Engl J Med. 2015;372:2533-2540. doi:10.1056/NEJMcp1412652. </w:t>
      </w:r>
      <w:hyperlink r:id="rId11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2. Walsh SC, Murphy E, Devane D, et al. Palliative care interventions in advanced dementia. Cochrane Database Syst Rev. 2021;9:CD011513. </w:t>
      </w:r>
      <w:hyperlink r:id="rId12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3. American Psychiatric Association. Diagnostic and Statistical Manual of Mental Disorders, 5th ed., text revision. 2022. </w:t>
      </w:r>
      <w:hyperlink r:id="rId13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4. Serrano-Pozo A, Escott-Price V, Grinberg LT, et al. Alzheimer's Disease. Lancet. 2026;407:2241-2262. </w:t>
      </w:r>
      <w:hyperlink r:id="rId14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5. Masters CL, Bateman R, Blennow K, et al. Alzheimer's disease. Nat Rev Dis Primers. 2015;1:15056. </w:t>
      </w:r>
      <w:hyperlink r:id="rId15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6. American Geriatrics Society. Feeding tubes in advanced dementia position statement. J Am Geriatr Soc. 2014;62:1590-1593. </w:t>
      </w:r>
      <w:hyperlink r:id="rId16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7. Chiong W, Tsou AY, Simmons Z, et al. Ethical Considerations in Dementia Diagnosis and Care: AAN Position Statement. Neurology. 2021;97:80-89. </w:t>
      </w:r>
      <w:hyperlink r:id="rId17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8. Taylor LP, Besbris JM, Graf WD, et al. Clinical Guidance in Neuropalliative Care: AAN Position Statement. Neurology. 2022;98:409-416. </w:t>
      </w:r>
      <w:hyperlink r:id="rId18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9. Eisenmann Y, Golla H, Schmidt H, et al. Palliative Care in Advanced Dementia. Front Psychiatry. 2020;11:699. </w:t>
      </w:r>
      <w:hyperlink r:id="rId19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10. Kluger BM, Hudson P, Hanson LC, et al. Palliative care to support adults with neurological disease. Lancet Neurol. 2023;22:619-631. </w:t>
      </w:r>
      <w:hyperlink r:id="rId20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11. Su YJ, Zhou SJ, Liu W, et al. Evidence mapping of nutritional-management guidelines in dementia. J Clin Nurs. 2026;35:2055-2070. </w:t>
      </w:r>
      <w:hyperlink r:id="rId21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12. Wang C, Roberts E, Smith G, et al. Tools for deprescribing in severe dementia: a scoping review. Int J Geriatr Psychiatry. 2023;38:e5959. </w:t>
      </w:r>
      <w:hyperlink r:id="rId22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13. Saude A, Bouca-Machado R, Leitao M, et al. Efficacy and safety of physiotherapy in people with dementia. J Alzheimers Dis. 2023;94:909-917. </w:t>
      </w:r>
      <w:hyperlink r:id="rId23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14. Hall AJ, Manning F, Goodwin V. Key considerations in physical rehabilitation for advanced dementia. IJERPH. 2023;20:4197. </w:t>
      </w:r>
      <w:hyperlink r:id="rId24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15. Edvardsson D, Winblad B, Sandman PO. Person-centred care of people with severe Alzheimer's disease. Lancet Neurol. 2008;7:362-367. </w:t>
      </w:r>
      <w:hyperlink r:id="rId25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16. Sorensen S, Duberstein P, Gill D, Pinquart M. Dementia care: mental health effects and interventions. Lancet Neurol. 2006;5:961-973. </w:t>
      </w:r>
      <w:hyperlink r:id="rId26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17. Arvanitakis Z, Shah RC, Bennett DA. Diagnosis and Management of Dementia. JAMA. 2019;322:1589-1599. </w:t>
      </w:r>
      <w:hyperlink r:id="rId27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18. LeDoux CV, Lindrooth RC, Seidler KJ, et al. Impact of home-health physical therapy in dementia. J Am Geriatr Soc. 2020;68:867-871. </w:t>
      </w:r>
      <w:hyperlink r:id="rId28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19. Yokogawa M, Taniguchi Y, Yoneda Y. Physiotherapy approaches to encourage activity in older adults with dementia. PLoS One. 2023;18:e0289290. </w:t>
      </w:r>
      <w:hyperlink r:id="rId29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20. Cruz-Jentoft AJ, Volkert D. Malnutrition in Older Adults. N Engl J Med. 2025;392:2244-2255. </w:t>
      </w:r>
      <w:hyperlink r:id="rId30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21. National Institute on Aging. Care in the Last Stages of Alzheimer's Disease. Updated 2024. </w:t>
      </w:r>
      <w:hyperlink r:id="rId31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22. American Speech-Language-Hearing Association. Adult Dysphagia Practice Portal. </w:t>
      </w:r>
      <w:hyperlink r:id="rId32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23. International Guideline. Repositioning and Mobilization; Support Surfaces. 4th edition online guidance. </w:t>
      </w:r>
      <w:hyperlink r:id="rId33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24. Centers for Medicare &amp; Medicaid Services. Hospice—Alzheimer's Disease and Related Disorders LCD L34567. </w:t>
      </w:r>
      <w:hyperlink r:id="rId34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25. National Institute on Aging. Common Medical Problems in Alzheimer's Disease: Information for Caregivers. Updated 2024. </w:t>
      </w:r>
      <w:hyperlink r:id="rId35">
        <w:r>
          <w:rPr>
            <w:color w:val="2E74B5"/>
            <w:u w:val="single"/>
          </w:rPr>
          <w:t>Source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6"/>
      </w:rPr>
      <w:t>LATE-STAGE ALZHEIMER CLINICAL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56/NEJMcp1412652" TargetMode="External"/><Relationship Id="rId12" Type="http://schemas.openxmlformats.org/officeDocument/2006/relationships/hyperlink" Target="https://doi.org/10.1002/14651858.CD011513.pub3" TargetMode="External"/><Relationship Id="rId13" Type="http://schemas.openxmlformats.org/officeDocument/2006/relationships/hyperlink" Target="https://www.appi.org/products/dsm" TargetMode="External"/><Relationship Id="rId14" Type="http://schemas.openxmlformats.org/officeDocument/2006/relationships/hyperlink" Target="https://pubmed.ncbi.nlm.nih.gov/42208565" TargetMode="External"/><Relationship Id="rId15" Type="http://schemas.openxmlformats.org/officeDocument/2006/relationships/hyperlink" Target="https://doi.org/10.1038/nrdp.2015.56" TargetMode="External"/><Relationship Id="rId16" Type="http://schemas.openxmlformats.org/officeDocument/2006/relationships/hyperlink" Target="https://doi.org/10.1111/jgs.12924" TargetMode="External"/><Relationship Id="rId17" Type="http://schemas.openxmlformats.org/officeDocument/2006/relationships/hyperlink" Target="https://doi.org/10.1212/WNL.0000000000012079" TargetMode="External"/><Relationship Id="rId18" Type="http://schemas.openxmlformats.org/officeDocument/2006/relationships/hyperlink" Target="https://doi.org/10.1212/WNL.0000000000200063" TargetMode="External"/><Relationship Id="rId19" Type="http://schemas.openxmlformats.org/officeDocument/2006/relationships/hyperlink" Target="https://doi.org/10.3389/fpsyt.2020.00699" TargetMode="External"/><Relationship Id="rId20" Type="http://schemas.openxmlformats.org/officeDocument/2006/relationships/hyperlink" Target="https://pubmed.ncbi.nlm.nih.gov/37353280" TargetMode="External"/><Relationship Id="rId21" Type="http://schemas.openxmlformats.org/officeDocument/2006/relationships/hyperlink" Target="https://doi.org/10.1111/jocn.17844" TargetMode="External"/><Relationship Id="rId22" Type="http://schemas.openxmlformats.org/officeDocument/2006/relationships/hyperlink" Target="https://doi.org/10.1002/gps.5959" TargetMode="External"/><Relationship Id="rId23" Type="http://schemas.openxmlformats.org/officeDocument/2006/relationships/hyperlink" Target="https://pubmed.ncbi.nlm.nih.gov/37393508" TargetMode="External"/><Relationship Id="rId24" Type="http://schemas.openxmlformats.org/officeDocument/2006/relationships/hyperlink" Target="https://doi.org/10.3390/ijerph20054197" TargetMode="External"/><Relationship Id="rId25" Type="http://schemas.openxmlformats.org/officeDocument/2006/relationships/hyperlink" Target="https://pubmed.ncbi.nlm.nih.gov/18339351" TargetMode="External"/><Relationship Id="rId26" Type="http://schemas.openxmlformats.org/officeDocument/2006/relationships/hyperlink" Target="https://pubmed.ncbi.nlm.nih.gov/17052663" TargetMode="External"/><Relationship Id="rId27" Type="http://schemas.openxmlformats.org/officeDocument/2006/relationships/hyperlink" Target="https://doi.org/10.1001/jama.2019.4782" TargetMode="External"/><Relationship Id="rId28" Type="http://schemas.openxmlformats.org/officeDocument/2006/relationships/hyperlink" Target="https://pubmed.ncbi.nlm.nih.gov/31930736" TargetMode="External"/><Relationship Id="rId29" Type="http://schemas.openxmlformats.org/officeDocument/2006/relationships/hyperlink" Target="https://doi.org/10.1371/journal.pone.0289290" TargetMode="External"/><Relationship Id="rId30" Type="http://schemas.openxmlformats.org/officeDocument/2006/relationships/hyperlink" Target="https://doi.org/10.1056/NEJMra2412275" TargetMode="External"/><Relationship Id="rId31" Type="http://schemas.openxmlformats.org/officeDocument/2006/relationships/hyperlink" Target="https://www.nia.nih.gov/health/alzheimers-caregiving/care-last-stages-alzheimers-disease" TargetMode="External"/><Relationship Id="rId32" Type="http://schemas.openxmlformats.org/officeDocument/2006/relationships/hyperlink" Target="https://www.asha.org/practice-portal/clinical-topics/adult-dysphagia/" TargetMode="External"/><Relationship Id="rId33" Type="http://schemas.openxmlformats.org/officeDocument/2006/relationships/hyperlink" Target="https://www.internationalguideline.com/repositioning" TargetMode="External"/><Relationship Id="rId34" Type="http://schemas.openxmlformats.org/officeDocument/2006/relationships/hyperlink" Target="https://www.cms.gov/medicare-coverage-database/view/lcd.aspx?LCDId=34567" TargetMode="External"/><Relationship Id="rId35" Type="http://schemas.openxmlformats.org/officeDocument/2006/relationships/hyperlink" Target="https://www.nia.nih.gov/health/alzheimers-caregiving/common-medical-problems-alzheimers-disease-information-caregiv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