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Late-Stage Alzheimer's Daily Observation Checklist</w:t>
      </w:r>
    </w:p>
    <w:p>
      <w:pPr>
        <w:pStyle w:val="Subtitle"/>
      </w:pPr>
      <w:r>
        <w:t>Personalized for Margaret Lewis (synthetic case) • caregiver-to-clinician communication tool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 xml:space="preserve">Use: </w:t>
            </w:r>
            <w:r>
              <w:t>Observe comfort, responsiveness, swallowing, breathing, skin, elimination and movement. At this stage, conventional memory testing is usually unhelpful. Compare with the patient's own baseline and escalate sudden change.</w:t>
            </w:r>
          </w:p>
        </w:tc>
      </w:tr>
    </w:tbl>
    <w:p>
      <w:pPr>
        <w:pStyle w:val="Heading1"/>
      </w:pPr>
      <w:r>
        <w:t>Baseline to confirm with the care team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Communication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Usually no meaningful speech; may open eyes or vocalize to familiar voice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Comfort cues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Usually relaxed face/body at rest; intermittent stiffness with care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Breathing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Usually quiet breathing without oxygen distress; replace with actual baseline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Eating/swallowing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Fully hand-fed; prescribed texture/liquid not supplied; occasional pocketing/cough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Mobility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Almost completely bedbound; no independent transfers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Skin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Very high risk; reported intact skin with blanching sacral redness—verify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Elimination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Urinary and fecal incontinence; usual bowel/urine pattern not supplied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Sleep / behavior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Fragmented sleep; occasional moaning or care resistance</w:t>
            </w:r>
          </w:p>
        </w:tc>
      </w:tr>
    </w:tbl>
    <w:p>
      <w:pPr>
        <w:pStyle w:val="Heading1"/>
      </w:pPr>
      <w:r>
        <w:t>Daily identifiers and context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Date / caregiver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Shift / observation window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Morning ☐  Afternoon ☐  Evening ☐  Overnight ☐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Location / care team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Home ☐  Facility ☐  Hospice ☐  Other: 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Recent change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New medication ☐ Illness exposure ☐ Poor sleep ☐ New caregiver ☐ Transfer/travel ☐ None known ☐</w:t>
            </w:r>
          </w:p>
        </w:tc>
      </w:tr>
    </w:tbl>
    <w:p>
      <w:pPr>
        <w:pStyle w:val="Heading1"/>
      </w:pPr>
      <w:r>
        <w:t>Rating key</w:t>
      </w:r>
    </w:p>
    <w:p>
      <w:r>
        <w:rPr>
          <w:b/>
        </w:rPr>
        <w:t>0 = usual baseline   1 = mild change   2 = clear change / more help   3 = severe, unsafe, or urgent   N/O = not observed</w:t>
      </w:r>
    </w:p>
    <w:p>
      <w:pPr>
        <w:pStyle w:val="Heading1"/>
      </w:pPr>
      <w:r>
        <w:t>Daily observations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4200"/>
        <w:gridCol w:w="1900"/>
        <w:gridCol w:w="1500"/>
        <w:gridCol w:w="1760"/>
      </w:tblGrid>
      <w:tr>
        <w:trPr>
          <w:tblHeader w:val="true"/>
        </w:trPr>
        <w:tc>
          <w:tcPr>
            <w:tcW w:type="dxa" w:w="4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Observation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Rating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Evidence / count</w:t>
            </w:r>
          </w:p>
        </w:tc>
        <w:tc>
          <w:tcPr>
            <w:tcW w:type="dxa" w:w="1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Action taken</w:t>
            </w:r>
          </w:p>
        </w:tc>
      </w:tr>
      <w:tr>
        <w:trPr>
          <w:cantSplit/>
        </w:trPr>
        <w:tc>
          <w:tcPr>
            <w:tcW w:type="dxa" w:w="42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t>RESPONSIVENESS &amp; COMFORT</w:t>
            </w:r>
          </w:p>
        </w:tc>
        <w:tc>
          <w:tcPr>
            <w:tcW w:type="dxa" w:w="19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5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76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Less responsive to voice/touch than baseline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Grimacing, guarding, moaning, clenched body, or resistance during care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Unusual restlessness, agitation, or inability to settle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Possible hallucination, fearful expression, or new distress behavior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t>BREATHING &amp; INFECTION</w:t>
            </w:r>
          </w:p>
        </w:tc>
        <w:tc>
          <w:tcPr>
            <w:tcW w:type="dxa" w:w="19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5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76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New cough, wet/gurgly voice or increased secretions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Faster, labored, noisy breathing or color change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Fever/chills or skin unusually hot/cold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New marked drowsiness or sudden fluctuation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t>EATING, SWALLOWING &amp; HYDRATION</w:t>
            </w:r>
          </w:p>
        </w:tc>
        <w:tc>
          <w:tcPr>
            <w:tcW w:type="dxa" w:w="19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5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76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Ate/drank less than usual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Pocketed food or needed repeated clearing cues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Coughed/choked or had wet breathing during/after intake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Could not remain alert/upright enough for safe feeding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Dry mouth, very low urine, or other dehydration concern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t>SKIN &amp; POSITIONING</w:t>
            </w:r>
          </w:p>
        </w:tc>
        <w:tc>
          <w:tcPr>
            <w:tcW w:type="dxa" w:w="19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5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76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New nonblanching redness, purple area, blister, open skin, drainage or odor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Pain/distress with turning or one position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Heel, sacrum, hip, elbow, ear or device site concern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Repositioning/support-surface plan could not be completed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t>ELIMINATION &amp; HYGIENE</w:t>
            </w:r>
          </w:p>
        </w:tc>
        <w:tc>
          <w:tcPr>
            <w:tcW w:type="dxa" w:w="19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5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76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Less urine, dark/foul urine, blood, or discomfort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 bowel movement outside usual pattern, hard stool, distension, or pain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Diarrhea/vomiting or moisture-related skin damage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Oral sores, thrush, bleeding gums, broken tooth, or retained food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t>MOVEMENT &amp; NEUROLOGIC</w:t>
            </w:r>
          </w:p>
        </w:tc>
        <w:tc>
          <w:tcPr>
            <w:tcW w:type="dxa" w:w="19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5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76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New stiffness, contracture discomfort, swelling, or one-sided change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Fall/near fall or unsafe transfer event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New jerking, seizure-like event, facial droop, or focal weakness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t>MEDICATION &amp; CAREGIVER</w:t>
            </w:r>
          </w:p>
        </w:tc>
        <w:tc>
          <w:tcPr>
            <w:tcW w:type="dxa" w:w="19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50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  <w:tc>
          <w:tcPr>
            <w:tcW w:type="dxa" w:w="1760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/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Missed, refused, vomited, or could not swallow a dose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Possible medication adverse effect or over-sedation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Caregiver could not safely turn, transfer, feed, or provide care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Caregiver strain unsafe or overwhelming today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 ☐ 1 ☐ 2 ☐ 3 ☐ N/O ☐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</w:t>
            </w:r>
          </w:p>
        </w:tc>
      </w:tr>
    </w:tbl>
    <w:p>
      <w:pPr>
        <w:pStyle w:val="Heading1"/>
      </w:pPr>
      <w:r>
        <w:t>Intake, output, and care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Meals / supplements offered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Breakfast ____  Lunch ____  Dinner ____  Supplements 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Estimated intake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Usual ☐  75% ☐  50% ☐  25% ☐  Minimal/none ☐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Cough/choke events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None ☐  Number ____  Description 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Urine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Usual ☐  Reduced ☐  None observed ☐  Concerning color/odor ☐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Bowel movement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Yes ☐  No ☐  Bristol type / concern __________________________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Repositioning / skin checks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Completed per ordered plan ☐  Exception/reason _____________________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Oral care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Morning ☐  After meals ☐  Evening ☐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Medication variance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None ☐  Describe and who was notified _____________________</w:t>
            </w:r>
          </w:p>
        </w:tc>
      </w:tr>
    </w:tbl>
    <w:p>
      <w:pPr>
        <w:pStyle w:val="Heading1"/>
      </w:pPr>
      <w:r>
        <w:t>Daily summary and escalation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Best comfort response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Touch ☐ Voice/music ☐ Repositioning ☐ Mouth care ☐ Medication per order ☐ Other 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Most important change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________________________________________________________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Clinician/hospice contacted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 ☐  Yes ☐  Time ____  Name ____  Instructions __________________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F4D78"/>
              </w:rPr>
              <w:t>Caregiver handoff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Completed ☐  Outstanding concern ______________________________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</w:tcPr>
          <w:p>
            <w:r>
              <w:rPr>
                <w:rFonts w:ascii="Calibri" w:hAnsi="Calibri"/>
                <w:b/>
                <w:color w:val="9B1C1C"/>
                <w:sz w:val="22"/>
              </w:rPr>
              <w:t xml:space="preserve">Emergency now: </w:t>
            </w:r>
            <w:r>
              <w:t>unrelieved choking, blue/gray color, severe breathing difficulty, new stroke signs, prolonged seizure, major injury/bleeding, or unexpected unresponsiveness—call emergency services unless the documented care plan directs a different response.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5D5"/>
          <w:left w:val="single" w:sz="4" w:color="B7C5D5"/>
          <w:bottom w:val="single" w:sz="4" w:color="B7C5D5"/>
          <w:right w:val="single" w:sz="4" w:color="B7C5D5"/>
          <w:insideH w:val="single" w:sz="4" w:color="B7C5D5"/>
          <w:insideV w:val="single" w:sz="4" w:color="B7C5D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E5"/>
          </w:tcPr>
          <w:p>
            <w:r>
              <w:rPr>
                <w:rFonts w:ascii="Calibri" w:hAnsi="Calibri"/>
                <w:b/>
                <w:color w:val="7A5A00"/>
                <w:sz w:val="22"/>
              </w:rPr>
              <w:t xml:space="preserve">Prompt clinical call: </w:t>
            </w:r>
            <w:r>
              <w:t>any sudden change; repeated cough/choking; fever/breathing change; marked intake or urine decline; new nonblanching redness/open skin; uncontrolled pain; no bowel movement with distress; medication error; or any rating of 3.</w:t>
            </w:r>
          </w:p>
        </w:tc>
      </w:tr>
    </w:tbl>
    <w:p>
      <w:r>
        <w:t>This checklist is observational, not a validated staging or pain scale. The treating team should select any formal instrument and define individualized thresholds. [1,7,9,15,21,25]</w:t>
      </w:r>
    </w:p>
    <w:p>
      <w:pPr>
        <w:pStyle w:val="Heading1"/>
      </w:pPr>
      <w:r>
        <w:t>References</w:t>
      </w:r>
    </w:p>
    <w:p>
      <w:pPr>
        <w:spacing w:after="40" w:line="240" w:lineRule="auto"/>
        <w:ind w:left="288" w:hanging="288"/>
      </w:pPr>
      <w:r>
        <w:t xml:space="preserve">1. Mitchell SL. Advanced Dementia. N Engl J Med. 2015;372:2533-2540. doi:10.1056/NEJMcp1412652. </w:t>
      </w:r>
      <w:hyperlink r:id="rId11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2. Walsh SC, Murphy E, Devane D, et al. Palliative care interventions in advanced dementia. Cochrane Database Syst Rev. 2021;9:CD011513. </w:t>
      </w:r>
      <w:hyperlink r:id="rId12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5. Masters CL, Bateman R, Blennow K, et al. Alzheimer's disease. Nat Rev Dis Primers. 2015;1:15056. </w:t>
      </w:r>
      <w:hyperlink r:id="rId13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7. Chiong W, Tsou AY, Simmons Z, et al. Ethical Considerations in Dementia Diagnosis and Care: AAN Position Statement. Neurology. 2021;97:80-89. </w:t>
      </w:r>
      <w:hyperlink r:id="rId14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9. Eisenmann Y, Golla H, Schmidt H, et al. Palliative Care in Advanced Dementia. Front Psychiatry. 2020;11:699. </w:t>
      </w:r>
      <w:hyperlink r:id="rId15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15. Edvardsson D, Winblad B, Sandman PO. Person-centred care of people with severe Alzheimer's disease. Lancet Neurol. 2008;7:362-367. </w:t>
      </w:r>
      <w:hyperlink r:id="rId16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21. National Institute on Aging. Care in the Last Stages of Alzheimer's Disease. Updated 2024. </w:t>
      </w:r>
      <w:hyperlink r:id="rId17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22. American Speech-Language-Hearing Association. Adult Dysphagia Practice Portal. </w:t>
      </w:r>
      <w:hyperlink r:id="rId18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23. International Guideline. Repositioning and Mobilization; Support Surfaces. 4th edition online guidance. </w:t>
      </w:r>
      <w:hyperlink r:id="rId19">
        <w:r>
          <w:rPr>
            <w:color w:val="2E74B5"/>
            <w:u w:val="single"/>
          </w:rPr>
          <w:t>Source</w:t>
        </w:r>
      </w:hyperlink>
    </w:p>
    <w:p>
      <w:pPr>
        <w:spacing w:after="40" w:line="240" w:lineRule="auto"/>
        <w:ind w:left="288" w:hanging="288"/>
      </w:pPr>
      <w:r>
        <w:t xml:space="preserve">25. National Institute on Aging. Common Medical Problems in Alzheimer's Disease: Information for Caregivers. Updated 2024. </w:t>
      </w:r>
      <w:hyperlink r:id="rId20">
        <w:r>
          <w:rPr>
            <w:color w:val="2E74B5"/>
            <w:u w:val="single"/>
          </w:rPr>
          <w:t>Source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B7280"/>
        <w:sz w:val="16"/>
      </w:rPr>
      <w:t>LATE-STAGE DAILY OBSERVATION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56/NEJMcp1412652" TargetMode="External"/><Relationship Id="rId12" Type="http://schemas.openxmlformats.org/officeDocument/2006/relationships/hyperlink" Target="https://doi.org/10.1002/14651858.CD011513.pub3" TargetMode="External"/><Relationship Id="rId13" Type="http://schemas.openxmlformats.org/officeDocument/2006/relationships/hyperlink" Target="https://doi.org/10.1038/nrdp.2015.56" TargetMode="External"/><Relationship Id="rId14" Type="http://schemas.openxmlformats.org/officeDocument/2006/relationships/hyperlink" Target="https://doi.org/10.1212/WNL.0000000000012079" TargetMode="External"/><Relationship Id="rId15" Type="http://schemas.openxmlformats.org/officeDocument/2006/relationships/hyperlink" Target="https://doi.org/10.3389/fpsyt.2020.00699" TargetMode="External"/><Relationship Id="rId16" Type="http://schemas.openxmlformats.org/officeDocument/2006/relationships/hyperlink" Target="https://pubmed.ncbi.nlm.nih.gov/18339351" TargetMode="External"/><Relationship Id="rId17" Type="http://schemas.openxmlformats.org/officeDocument/2006/relationships/hyperlink" Target="https://www.nia.nih.gov/health/alzheimers-caregiving/care-last-stages-alzheimers-disease" TargetMode="External"/><Relationship Id="rId18" Type="http://schemas.openxmlformats.org/officeDocument/2006/relationships/hyperlink" Target="https://www.asha.org/practice-portal/clinical-topics/adult-dysphagia/" TargetMode="External"/><Relationship Id="rId19" Type="http://schemas.openxmlformats.org/officeDocument/2006/relationships/hyperlink" Target="https://www.internationalguideline.com/repositioning" TargetMode="External"/><Relationship Id="rId20" Type="http://schemas.openxmlformats.org/officeDocument/2006/relationships/hyperlink" Target="https://www.nia.nih.gov/health/alzheimers-caregiving/common-medical-problems-alzheimers-disease-information-caregiv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