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F9AB" w14:textId="77777777" w:rsidR="00AF27FA" w:rsidRDefault="00F17316" w:rsidP="00EF3336">
      <w:pPr>
        <w:spacing w:after="0" w:line="276" w:lineRule="auto"/>
        <w:jc w:val="center"/>
        <w:rPr>
          <w:rFonts w:ascii="Verdana" w:hAnsi="Verdana" w:cs="Verdana"/>
          <w:b/>
          <w:bCs/>
          <w:lang w:val="es-CO"/>
        </w:rPr>
      </w:pPr>
      <w:r>
        <w:rPr>
          <w:rFonts w:ascii="Verdana" w:hAnsi="Verdana" w:cs="Verdana"/>
          <w:b/>
          <w:bCs/>
          <w:lang w:val="es-CO"/>
        </w:rPr>
        <w:t>OBJETIVOS DEL S</w:t>
      </w:r>
      <w:r w:rsidR="00EF3336">
        <w:rPr>
          <w:rFonts w:ascii="Verdana" w:hAnsi="Verdana" w:cs="Verdana"/>
          <w:b/>
          <w:bCs/>
          <w:lang w:val="es-CO"/>
        </w:rPr>
        <w:t xml:space="preserve">ISTEMA DE </w:t>
      </w:r>
      <w:r>
        <w:rPr>
          <w:rFonts w:ascii="Verdana" w:hAnsi="Verdana" w:cs="Verdana"/>
          <w:b/>
          <w:bCs/>
          <w:lang w:val="es-CO"/>
        </w:rPr>
        <w:t>G</w:t>
      </w:r>
      <w:r w:rsidR="00EF3336">
        <w:rPr>
          <w:rFonts w:ascii="Verdana" w:hAnsi="Verdana" w:cs="Verdana"/>
          <w:b/>
          <w:bCs/>
          <w:lang w:val="es-CO"/>
        </w:rPr>
        <w:t xml:space="preserve">ESTION DE </w:t>
      </w:r>
      <w:r>
        <w:rPr>
          <w:rFonts w:ascii="Verdana" w:hAnsi="Verdana" w:cs="Verdana"/>
          <w:b/>
          <w:bCs/>
          <w:lang w:val="es-CO"/>
        </w:rPr>
        <w:t>SST</w:t>
      </w:r>
    </w:p>
    <w:p w14:paraId="3683D376" w14:textId="77777777" w:rsidR="00AF27FA" w:rsidRDefault="00AF27FA">
      <w:pPr>
        <w:spacing w:after="0" w:line="276" w:lineRule="auto"/>
        <w:jc w:val="both"/>
        <w:rPr>
          <w:rFonts w:ascii="Verdana" w:hAnsi="Verdana" w:cs="Verdana"/>
          <w:b/>
          <w:bCs/>
          <w:lang w:val="es-CO"/>
        </w:rPr>
      </w:pPr>
    </w:p>
    <w:p w14:paraId="7A543480" w14:textId="77777777" w:rsidR="00AF27FA" w:rsidRDefault="00F17316">
      <w:pPr>
        <w:spacing w:after="0" w:line="276" w:lineRule="auto"/>
        <w:jc w:val="both"/>
        <w:rPr>
          <w:rFonts w:ascii="Verdana" w:hAnsi="Verdana" w:cs="Verdana"/>
          <w:b/>
          <w:bCs/>
          <w:lang w:val="es-CO"/>
        </w:rPr>
      </w:pPr>
      <w:r>
        <w:rPr>
          <w:rFonts w:ascii="Verdana" w:hAnsi="Verdana" w:cs="Verdana"/>
          <w:b/>
          <w:bCs/>
          <w:lang w:val="es-CO"/>
        </w:rPr>
        <w:t xml:space="preserve">Objetivo General:  </w:t>
      </w:r>
    </w:p>
    <w:p w14:paraId="0B6EFC27" w14:textId="77777777" w:rsidR="00AF27FA" w:rsidRDefault="00AF27FA">
      <w:pPr>
        <w:spacing w:after="0" w:line="276" w:lineRule="auto"/>
        <w:jc w:val="both"/>
        <w:rPr>
          <w:rFonts w:ascii="Verdana" w:hAnsi="Verdana" w:cs="Verdana"/>
          <w:b/>
          <w:bCs/>
          <w:lang w:val="es-CO"/>
        </w:rPr>
      </w:pPr>
    </w:p>
    <w:p w14:paraId="3BCC1C24" w14:textId="696462C2" w:rsidR="00AF27FA" w:rsidRDefault="00F17316">
      <w:pPr>
        <w:jc w:val="both"/>
        <w:rPr>
          <w:rFonts w:ascii="Verdana" w:eastAsia="SimSun" w:hAnsi="Verdana" w:cs="Verdana"/>
          <w:lang w:val="es-CO"/>
        </w:rPr>
      </w:pPr>
      <w:r>
        <w:rPr>
          <w:rFonts w:ascii="Verdana" w:eastAsia="SimSun" w:hAnsi="Verdana" w:cs="Verdana"/>
          <w:lang w:val="es-CO"/>
        </w:rPr>
        <w:t xml:space="preserve">Establecer un procedimiento continuo a través del Sistema de Gestión de la Seguridad y Salud en el Trabajo que promueva la salud integral de los trabajadores de </w:t>
      </w:r>
      <w:r w:rsidR="00CC62DA" w:rsidRPr="00CC62DA">
        <w:rPr>
          <w:rFonts w:ascii="Verdana" w:eastAsia="SimSun" w:hAnsi="Verdana" w:cs="Verdana"/>
          <w:b/>
          <w:color w:val="FF0000"/>
          <w:lang w:val="es-CO"/>
        </w:rPr>
        <w:t>[</w:t>
      </w:r>
      <w:proofErr w:type="spellStart"/>
      <w:r w:rsidR="00CC62DA" w:rsidRPr="00CC62DA">
        <w:rPr>
          <w:rFonts w:ascii="Verdana" w:eastAsia="SimSun" w:hAnsi="Verdana" w:cs="Verdana"/>
          <w:b/>
          <w:color w:val="FF0000"/>
          <w:lang w:val="es-CO"/>
        </w:rPr>
        <w:t>datos.nombre_empresa</w:t>
      </w:r>
      <w:proofErr w:type="spellEnd"/>
      <w:r w:rsidR="00CC62DA" w:rsidRPr="00CC62DA">
        <w:rPr>
          <w:rFonts w:ascii="Verdana" w:eastAsia="SimSun" w:hAnsi="Verdana" w:cs="Verdana"/>
          <w:b/>
          <w:color w:val="FF0000"/>
          <w:lang w:val="es-CO"/>
        </w:rPr>
        <w:t>]</w:t>
      </w:r>
      <w:r>
        <w:rPr>
          <w:rFonts w:ascii="Verdana" w:eastAsia="SimSun" w:hAnsi="Verdana" w:cs="Verdana"/>
          <w:b/>
          <w:lang w:val="es-CO"/>
        </w:rPr>
        <w:t>,</w:t>
      </w:r>
      <w:r>
        <w:rPr>
          <w:rFonts w:ascii="Verdana" w:eastAsia="SimSun" w:hAnsi="Verdana" w:cs="Verdana"/>
          <w:lang w:val="es-CO"/>
        </w:rPr>
        <w:t xml:space="preserve"> </w:t>
      </w:r>
      <w:r>
        <w:rPr>
          <w:rFonts w:ascii="Verdana" w:hAnsi="Verdana" w:cs="Verdana"/>
          <w:lang w:val="es-CO"/>
        </w:rPr>
        <w:t>fomentando una cultura de prevención de ocurrencia de incidentes, accidentes y enfermedades laborales, cumpliendo las normas legales vigentes y garantizando la productividad de la empresa.</w:t>
      </w:r>
    </w:p>
    <w:p w14:paraId="20605EDB" w14:textId="77777777" w:rsidR="00AF27FA" w:rsidRDefault="00AF27FA">
      <w:pPr>
        <w:spacing w:after="0" w:line="240" w:lineRule="auto"/>
        <w:jc w:val="both"/>
        <w:rPr>
          <w:rFonts w:ascii="Verdana" w:eastAsia="SimSun" w:hAnsi="Verdana" w:cs="Verdana"/>
          <w:lang w:val="es-CO"/>
        </w:rPr>
      </w:pPr>
    </w:p>
    <w:p w14:paraId="2C23BFDE" w14:textId="77777777" w:rsidR="00AF27FA" w:rsidRDefault="00F17316">
      <w:pPr>
        <w:jc w:val="both"/>
        <w:rPr>
          <w:rFonts w:ascii="Verdana" w:hAnsi="Verdana" w:cs="Verdana"/>
          <w:b/>
          <w:bCs/>
          <w:lang w:val="es-CO"/>
        </w:rPr>
      </w:pPr>
      <w:r>
        <w:rPr>
          <w:rFonts w:ascii="Verdana" w:hAnsi="Verdana" w:cs="Verdana"/>
          <w:b/>
          <w:bCs/>
          <w:lang w:val="es-CO"/>
        </w:rPr>
        <w:t>Objetivos Específicos:</w:t>
      </w:r>
    </w:p>
    <w:p w14:paraId="728465FC" w14:textId="77777777" w:rsidR="00AF27FA" w:rsidRDefault="00F17316">
      <w:pPr>
        <w:pStyle w:val="Prrafodelista1"/>
        <w:numPr>
          <w:ilvl w:val="0"/>
          <w:numId w:val="2"/>
        </w:numPr>
        <w:ind w:left="426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Facilitar los recursos y políticas que respalden la estructura del SG-SST y que puedan garantizar la atención de las demandas y necesidades del mismo.</w:t>
      </w:r>
    </w:p>
    <w:p w14:paraId="5C49798B" w14:textId="77777777" w:rsidR="00AF27FA" w:rsidRDefault="00AF27FA">
      <w:pPr>
        <w:pStyle w:val="Prrafodelista1"/>
        <w:ind w:left="66"/>
        <w:jc w:val="both"/>
        <w:rPr>
          <w:rFonts w:ascii="Verdana" w:hAnsi="Verdana" w:cs="Verdana"/>
          <w:lang w:val="es-CO"/>
        </w:rPr>
      </w:pPr>
    </w:p>
    <w:p w14:paraId="09C8B339" w14:textId="77777777" w:rsidR="00AF27FA" w:rsidRDefault="00F17316">
      <w:pPr>
        <w:pStyle w:val="Prrafodelista1"/>
        <w:numPr>
          <w:ilvl w:val="0"/>
          <w:numId w:val="2"/>
        </w:numPr>
        <w:ind w:left="426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Asegurar la preparación, uso y eficiencia del Sistema de Gestión de Seguridad y Salud en el Trabajo soportándolo a través de un registro formulado, actualizado y coherente a la actividad económica de la empresa, el desarrollo de los planes de trabajo del SG-SST, la evaluación y seguimientos de resultados.</w:t>
      </w:r>
    </w:p>
    <w:p w14:paraId="7390507E" w14:textId="77777777" w:rsidR="00AF27FA" w:rsidRDefault="00AF27FA">
      <w:pPr>
        <w:pStyle w:val="Prrafodelista1"/>
        <w:ind w:left="66"/>
        <w:jc w:val="both"/>
        <w:rPr>
          <w:rFonts w:ascii="Verdana" w:hAnsi="Verdana" w:cs="Verdana"/>
          <w:lang w:val="es-CO"/>
        </w:rPr>
      </w:pPr>
    </w:p>
    <w:p w14:paraId="026CFA39" w14:textId="77777777" w:rsidR="00AF27FA" w:rsidRDefault="00F17316">
      <w:pPr>
        <w:pStyle w:val="Prrafodelista1"/>
        <w:numPr>
          <w:ilvl w:val="0"/>
          <w:numId w:val="2"/>
        </w:numPr>
        <w:ind w:left="426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identificar, evaluar y definir de acuerdo a la gestión de riesgos, medidas de implementación de riesgos generales y particulares de cada área de la empresa.</w:t>
      </w:r>
    </w:p>
    <w:p w14:paraId="29C80758" w14:textId="77777777" w:rsidR="00AF27FA" w:rsidRDefault="00AF27FA">
      <w:pPr>
        <w:pStyle w:val="Prrafodelista1"/>
        <w:ind w:left="66"/>
        <w:jc w:val="both"/>
        <w:rPr>
          <w:rFonts w:ascii="Verdana" w:hAnsi="Verdana" w:cs="Verdana"/>
          <w:lang w:val="es-CO"/>
        </w:rPr>
      </w:pPr>
    </w:p>
    <w:p w14:paraId="79CE7C01" w14:textId="77777777" w:rsidR="00AF27FA" w:rsidRDefault="00F17316">
      <w:pPr>
        <w:pStyle w:val="Prrafodelista1"/>
        <w:numPr>
          <w:ilvl w:val="0"/>
          <w:numId w:val="2"/>
        </w:numPr>
        <w:ind w:left="426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Definir una matriz de requisitos legales y verificar periódicamente su cumplimiento.</w:t>
      </w:r>
    </w:p>
    <w:p w14:paraId="01783CAF" w14:textId="77777777" w:rsidR="00AF27FA" w:rsidRDefault="00AF27FA">
      <w:pPr>
        <w:pStyle w:val="Prrafodelista1"/>
        <w:ind w:left="66"/>
        <w:jc w:val="both"/>
        <w:rPr>
          <w:rFonts w:ascii="Verdana" w:hAnsi="Verdana" w:cs="Verdana"/>
          <w:lang w:val="es-CO"/>
        </w:rPr>
      </w:pPr>
    </w:p>
    <w:p w14:paraId="7CBCC509" w14:textId="77777777" w:rsidR="00AF27FA" w:rsidRDefault="00F17316">
      <w:pPr>
        <w:pStyle w:val="Prrafodelista1"/>
        <w:numPr>
          <w:ilvl w:val="0"/>
          <w:numId w:val="2"/>
        </w:numPr>
        <w:ind w:left="426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Interpretar periódicamente los resultados del SG - SST en términos de efectividad.</w:t>
      </w:r>
    </w:p>
    <w:p w14:paraId="70DFE4B3" w14:textId="77777777" w:rsidR="00AF27FA" w:rsidRDefault="00AF27FA">
      <w:pPr>
        <w:jc w:val="both"/>
        <w:rPr>
          <w:rFonts w:ascii="Verdana" w:hAnsi="Verdana" w:cs="Verdana"/>
          <w:lang w:val="es-CO"/>
        </w:rPr>
      </w:pPr>
    </w:p>
    <w:p w14:paraId="5855AB20" w14:textId="0EA28519" w:rsidR="00AF27FA" w:rsidRDefault="00F17316">
      <w:pPr>
        <w:spacing w:after="0"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Tahoma"/>
          <w:lang w:val="es-CO"/>
        </w:rPr>
        <w:t xml:space="preserve">Estos objetivos tienen vigencia a partir del </w:t>
      </w:r>
      <w:r w:rsidR="00076326" w:rsidRPr="00076326">
        <w:rPr>
          <w:rFonts w:ascii="Verdana" w:hAnsi="Verdana" w:cs="Tahoma"/>
          <w:color w:val="FF0000"/>
          <w:lang w:val="es-CO"/>
        </w:rPr>
        <w:t>DÍA</w:t>
      </w:r>
      <w:r>
        <w:rPr>
          <w:rFonts w:ascii="Verdana" w:hAnsi="Verdana" w:cs="Tahoma"/>
          <w:lang w:val="es-CO"/>
        </w:rPr>
        <w:t xml:space="preserve"> de </w:t>
      </w:r>
      <w:r w:rsidR="00076326" w:rsidRPr="00076326">
        <w:rPr>
          <w:rFonts w:ascii="Verdana" w:hAnsi="Verdana" w:cs="Tahoma"/>
          <w:color w:val="FF0000"/>
          <w:lang w:val="es-CO"/>
        </w:rPr>
        <w:t>MES</w:t>
      </w:r>
      <w:r>
        <w:rPr>
          <w:rFonts w:ascii="Verdana" w:hAnsi="Verdana" w:cs="Tahoma"/>
          <w:lang w:val="es-CO"/>
        </w:rPr>
        <w:t xml:space="preserve"> de 20</w:t>
      </w:r>
      <w:r w:rsidR="00076326">
        <w:rPr>
          <w:rFonts w:ascii="Verdana" w:hAnsi="Verdana" w:cs="Tahoma"/>
          <w:lang w:val="es-CO"/>
        </w:rPr>
        <w:t>2</w:t>
      </w:r>
      <w:r w:rsidR="00076326" w:rsidRPr="00076326">
        <w:rPr>
          <w:rFonts w:ascii="Verdana" w:hAnsi="Verdana" w:cs="Tahoma"/>
          <w:color w:val="FF0000"/>
          <w:lang w:val="es-CO"/>
        </w:rPr>
        <w:t>X</w:t>
      </w:r>
      <w:r>
        <w:rPr>
          <w:rFonts w:ascii="Verdana" w:hAnsi="Verdana" w:cs="Tahoma"/>
          <w:lang w:val="es-CO"/>
        </w:rPr>
        <w:t>.</w:t>
      </w:r>
    </w:p>
    <w:p w14:paraId="6992CD74" w14:textId="017DCBCC" w:rsidR="00AF27FA" w:rsidRDefault="00AF27FA">
      <w:pPr>
        <w:jc w:val="both"/>
        <w:rPr>
          <w:rFonts w:ascii="Verdana" w:hAnsi="Verdana" w:cs="Verdana"/>
          <w:lang w:val="es-CO"/>
        </w:rPr>
      </w:pPr>
    </w:p>
    <w:p w14:paraId="3FE0CB62" w14:textId="52000136" w:rsidR="00AF27FA" w:rsidRDefault="00CC62DA">
      <w:pPr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2A039DFC" wp14:editId="60E683BF">
            <wp:simplePos x="0" y="0"/>
            <wp:positionH relativeFrom="column">
              <wp:posOffset>37465</wp:posOffset>
            </wp:positionH>
            <wp:positionV relativeFrom="paragraph">
              <wp:posOffset>24130</wp:posOffset>
            </wp:positionV>
            <wp:extent cx="1345317" cy="8534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317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74C30" w14:textId="4C8078BC" w:rsidR="00AF27FA" w:rsidRDefault="00AF27FA">
      <w:pPr>
        <w:spacing w:after="0" w:line="240" w:lineRule="auto"/>
        <w:jc w:val="both"/>
        <w:rPr>
          <w:rFonts w:ascii="Verdana" w:hAnsi="Verdana" w:cs="Verdana"/>
          <w:lang w:val="es-CO"/>
        </w:rPr>
      </w:pPr>
    </w:p>
    <w:p w14:paraId="141CC899" w14:textId="236655E3" w:rsidR="00CC62DA" w:rsidRDefault="00CC62DA">
      <w:pPr>
        <w:jc w:val="both"/>
        <w:rPr>
          <w:rFonts w:ascii="Verdana" w:hAnsi="Verdana" w:cs="Verdana"/>
          <w:color w:val="FF0000"/>
          <w:lang w:val="es-CO"/>
        </w:rPr>
      </w:pPr>
      <w:r w:rsidRPr="00CC62DA">
        <w:rPr>
          <w:rFonts w:ascii="Verdana" w:hAnsi="Verdana" w:cs="Verdana"/>
          <w:color w:val="FF0000"/>
          <w:lang w:val="es-CO"/>
        </w:rPr>
        <w:t>[</w:t>
      </w:r>
      <w:proofErr w:type="spellStart"/>
      <w:r w:rsidRPr="00CC62DA">
        <w:rPr>
          <w:rFonts w:ascii="Verdana" w:hAnsi="Verdana" w:cs="Verdana"/>
          <w:color w:val="FF0000"/>
          <w:lang w:val="es-CO"/>
        </w:rPr>
        <w:t>onshow.</w:t>
      </w:r>
      <w:r w:rsidR="00D75310">
        <w:rPr>
          <w:rFonts w:ascii="Verdana" w:hAnsi="Verdana" w:cs="Verdana"/>
          <w:color w:val="FF0000"/>
          <w:lang w:val="es-CO"/>
        </w:rPr>
        <w:t>m</w:t>
      </w:r>
      <w:proofErr w:type="spellEnd"/>
      <w:r w:rsidRPr="00CC62DA">
        <w:rPr>
          <w:rFonts w:ascii="Verdana" w:hAnsi="Verdana" w:cs="Verdana"/>
          <w:color w:val="FF0000"/>
          <w:lang w:val="es-CO"/>
        </w:rPr>
        <w:t xml:space="preserve">; </w:t>
      </w:r>
      <w:proofErr w:type="spellStart"/>
      <w:r w:rsidRPr="00CC62DA">
        <w:rPr>
          <w:rFonts w:ascii="Verdana" w:hAnsi="Verdana" w:cs="Verdana"/>
          <w:color w:val="FF0000"/>
          <w:lang w:val="es-CO"/>
        </w:rPr>
        <w:t>ope</w:t>
      </w:r>
      <w:proofErr w:type="spellEnd"/>
      <w:r w:rsidRPr="00CC62DA">
        <w:rPr>
          <w:rFonts w:ascii="Verdana" w:hAnsi="Verdana" w:cs="Verdana"/>
          <w:color w:val="FF0000"/>
          <w:lang w:val="es-CO"/>
        </w:rPr>
        <w:t>=</w:t>
      </w:r>
      <w:proofErr w:type="spellStart"/>
      <w:r w:rsidRPr="00CC62DA">
        <w:rPr>
          <w:rFonts w:ascii="Verdana" w:hAnsi="Verdana" w:cs="Verdana"/>
          <w:color w:val="FF0000"/>
          <w:lang w:val="es-CO"/>
        </w:rPr>
        <w:t>changepic</w:t>
      </w:r>
      <w:proofErr w:type="spellEnd"/>
      <w:r w:rsidRPr="00CC62DA">
        <w:rPr>
          <w:rFonts w:ascii="Verdana" w:hAnsi="Verdana" w:cs="Verdana"/>
          <w:color w:val="FF0000"/>
          <w:lang w:val="es-CO"/>
        </w:rPr>
        <w:t>]</w:t>
      </w:r>
    </w:p>
    <w:p w14:paraId="6BF78921" w14:textId="07E5C0A9" w:rsidR="00C50B44" w:rsidRDefault="00F17316">
      <w:pPr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Representante Legal</w:t>
      </w:r>
    </w:p>
    <w:p w14:paraId="125497F3" w14:textId="77777777" w:rsidR="00C50B44" w:rsidRDefault="00C50B44">
      <w:pPr>
        <w:jc w:val="both"/>
        <w:rPr>
          <w:rFonts w:ascii="Verdana" w:hAnsi="Verdana" w:cs="Verdana"/>
          <w:b/>
          <w:bCs/>
          <w:lang w:val="es-CO"/>
        </w:rPr>
        <w:sectPr w:rsidR="00C50B44">
          <w:headerReference w:type="default" r:id="rId10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52DC5D4" w14:textId="2FF54A1D" w:rsidR="00ED7969" w:rsidRDefault="00ED7969">
      <w:pPr>
        <w:jc w:val="both"/>
        <w:rPr>
          <w:rFonts w:ascii="Verdana" w:hAnsi="Verdana" w:cs="Verdana"/>
          <w:lang w:val="es-CO"/>
        </w:rPr>
        <w:sectPr w:rsidR="00ED7969">
          <w:headerReference w:type="default" r:id="rId11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539F6BC" w14:textId="77777777" w:rsidR="00AF27FA" w:rsidRDefault="00AF27FA" w:rsidP="00EA27A8">
      <w:pPr>
        <w:spacing w:after="0"/>
      </w:pPr>
    </w:p>
    <w:sectPr w:rsidR="00AF27FA" w:rsidSect="00B807B3">
      <w:headerReference w:type="defaul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4A82" w14:textId="77777777" w:rsidR="001D621A" w:rsidRDefault="001D621A">
      <w:pPr>
        <w:spacing w:after="0" w:line="240" w:lineRule="auto"/>
      </w:pPr>
      <w:r>
        <w:separator/>
      </w:r>
    </w:p>
  </w:endnote>
  <w:endnote w:type="continuationSeparator" w:id="0">
    <w:p w14:paraId="3BC72C3F" w14:textId="77777777" w:rsidR="001D621A" w:rsidRDefault="001D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6BAC" w14:textId="77777777" w:rsidR="001D621A" w:rsidRDefault="001D621A">
      <w:pPr>
        <w:spacing w:after="0" w:line="240" w:lineRule="auto"/>
      </w:pPr>
      <w:r>
        <w:separator/>
      </w:r>
    </w:p>
  </w:footnote>
  <w:footnote w:type="continuationSeparator" w:id="0">
    <w:p w14:paraId="30B1BCE1" w14:textId="77777777" w:rsidR="001D621A" w:rsidRDefault="001D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ECDB9" w14:textId="77777777" w:rsidR="00CC62DA" w:rsidRDefault="00CC62DA"/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98"/>
      <w:gridCol w:w="1772"/>
    </w:tblGrid>
    <w:tr w:rsidR="00E564D0" w14:paraId="02BE2E32" w14:textId="77777777" w:rsidTr="00CC62DA">
      <w:trPr>
        <w:trHeight w:val="558"/>
      </w:trPr>
      <w:tc>
        <w:tcPr>
          <w:tcW w:w="28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8E5954" w14:textId="7CAC13EB" w:rsidR="00CC62DA" w:rsidRDefault="007365A5" w:rsidP="00E564D0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</w:pPr>
          <w:r>
            <w:rPr>
              <w:rFonts w:ascii="Consolas" w:hAnsi="Consolas"/>
              <w:noProof/>
              <w:color w:val="242729"/>
              <w:shd w:val="clear" w:color="auto" w:fill="E4E6E8"/>
            </w:rPr>
            <w:drawing>
              <wp:anchor distT="0" distB="0" distL="114300" distR="114300" simplePos="0" relativeHeight="251658240" behindDoc="0" locked="0" layoutInCell="1" allowOverlap="1" wp14:anchorId="497C7659" wp14:editId="519C2D70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706880" cy="896620"/>
                <wp:effectExtent l="0" t="0" r="762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880" cy="8966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BBEC6F" w14:textId="203DC49A" w:rsidR="00E564D0" w:rsidRDefault="00CC62DA" w:rsidP="00E564D0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Times New Roman" w:hAnsi="Arial" w:cs="Arial"/>
              <w:noProof/>
              <w:lang w:val="es-ES" w:eastAsia="es-CO"/>
            </w:rPr>
          </w:pP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29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A17F2" w14:textId="77777777" w:rsidR="00E564D0" w:rsidRPr="00E564D0" w:rsidRDefault="00E564D0" w:rsidP="00E564D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eastAsia="es-ES" w:bidi="hi-IN"/>
            </w:rPr>
          </w:pPr>
          <w:r w:rsidRPr="00E564D0"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42C1CADE" w14:textId="6E7C2FBD" w:rsidR="00E564D0" w:rsidRDefault="00E564D0" w:rsidP="00E564D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 w:rsidRPr="00E564D0">
            <w:rPr>
              <w:rFonts w:ascii="Arial" w:hAnsi="Arial" w:cs="Arial"/>
              <w:b/>
              <w:noProof/>
              <w:lang w:eastAsia="es-CO"/>
            </w:rPr>
            <w:t>Objetivos Del Sistema De Gestion Sst</w:t>
          </w:r>
        </w:p>
      </w:tc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906D4F" w14:textId="77777777" w:rsidR="00E564D0" w:rsidRDefault="00E564D0" w:rsidP="00E564D0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E564D0" w14:paraId="63A444F9" w14:textId="77777777" w:rsidTr="00CC62DA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FED402" w14:textId="77777777" w:rsidR="00E564D0" w:rsidRDefault="00E564D0" w:rsidP="00E564D0">
          <w:pPr>
            <w:rPr>
              <w:rFonts w:ascii="Arial" w:eastAsia="Times New Roman" w:hAnsi="Arial" w:cs="Arial"/>
              <w:noProof/>
              <w:sz w:val="24"/>
              <w:szCs w:val="24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183223" w14:textId="77777777" w:rsidR="00E564D0" w:rsidRDefault="00E564D0" w:rsidP="00E564D0">
          <w:pPr>
            <w:rPr>
              <w:rFonts w:ascii="Arial" w:eastAsia="Times New Roman" w:hAnsi="Arial" w:cs="Arial"/>
              <w:b/>
              <w:sz w:val="24"/>
              <w:szCs w:val="24"/>
              <w:lang w:val="es-ES_tradnl" w:eastAsia="es-ES" w:bidi="hi-IN"/>
            </w:rPr>
          </w:pPr>
        </w:p>
      </w:tc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483849" w14:textId="77777777" w:rsidR="00E564D0" w:rsidRDefault="00E564D0" w:rsidP="00E564D0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Versión</w:t>
          </w:r>
          <w:proofErr w:type="spellEnd"/>
          <w:r>
            <w:rPr>
              <w:rFonts w:ascii="Arial" w:hAnsi="Arial" w:cs="Arial"/>
              <w:sz w:val="18"/>
              <w:szCs w:val="18"/>
            </w:rPr>
            <w:t>:</w:t>
          </w:r>
        </w:p>
      </w:tc>
    </w:tr>
    <w:tr w:rsidR="00E564D0" w14:paraId="16385C7D" w14:textId="77777777" w:rsidTr="00CC62DA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F6F96C" w14:textId="77777777" w:rsidR="00E564D0" w:rsidRDefault="00E564D0" w:rsidP="00E564D0">
          <w:pPr>
            <w:rPr>
              <w:rFonts w:ascii="Arial" w:eastAsia="Times New Roman" w:hAnsi="Arial" w:cs="Arial"/>
              <w:noProof/>
              <w:sz w:val="24"/>
              <w:szCs w:val="24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CB6C77" w14:textId="77777777" w:rsidR="00E564D0" w:rsidRDefault="00E564D0" w:rsidP="00E564D0">
          <w:pPr>
            <w:rPr>
              <w:rFonts w:ascii="Arial" w:eastAsia="Times New Roman" w:hAnsi="Arial" w:cs="Arial"/>
              <w:b/>
              <w:sz w:val="24"/>
              <w:szCs w:val="24"/>
              <w:lang w:val="es-ES_tradnl" w:eastAsia="es-ES" w:bidi="hi-IN"/>
            </w:rPr>
          </w:pPr>
        </w:p>
      </w:tc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0CEEF8" w14:textId="31A78765" w:rsidR="00E564D0" w:rsidRDefault="00E564D0" w:rsidP="00E564D0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Fecha</w:t>
          </w:r>
          <w:proofErr w:type="spellEnd"/>
          <w:r>
            <w:rPr>
              <w:rFonts w:ascii="Arial" w:hAnsi="Arial" w:cs="Arial"/>
              <w:sz w:val="18"/>
              <w:szCs w:val="18"/>
            </w:rPr>
            <w:t>:</w:t>
          </w:r>
          <w:r w:rsidR="00CC62DA">
            <w:rPr>
              <w:rFonts w:ascii="Arial" w:hAnsi="Arial" w:cs="Arial"/>
              <w:sz w:val="18"/>
              <w:szCs w:val="18"/>
            </w:rPr>
            <w:t xml:space="preserve"> </w:t>
          </w:r>
          <w:r w:rsidR="00CC62DA"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proofErr w:type="gramStart"/>
          <w:r w:rsidR="00CC62DA"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proofErr w:type="gramEnd"/>
          <w:r w:rsidR="00CC62DA"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57B68EB0" w14:textId="77777777" w:rsidR="00C50B44" w:rsidRPr="00ED7969" w:rsidRDefault="00C50B44" w:rsidP="00ED79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73C0" w14:textId="77777777" w:rsidR="00C50B44" w:rsidRDefault="00C50B4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4A3A" w14:textId="77777777" w:rsidR="00ED7969" w:rsidRDefault="00ED79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1336"/>
    <w:multiLevelType w:val="multilevel"/>
    <w:tmpl w:val="330F1336"/>
    <w:lvl w:ilvl="0">
      <w:numFmt w:val="bullet"/>
      <w:lvlText w:val="•"/>
      <w:lvlJc w:val="left"/>
      <w:pPr>
        <w:ind w:left="1053" w:hanging="705"/>
      </w:pPr>
      <w:rPr>
        <w:rFonts w:ascii="Tahoma" w:eastAsiaTheme="minorHAnsi" w:hAnsi="Tahoma" w:cs="Tahoma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4DB97BB8"/>
    <w:multiLevelType w:val="multilevel"/>
    <w:tmpl w:val="4DB97BB8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D3C44"/>
    <w:multiLevelType w:val="multilevel"/>
    <w:tmpl w:val="746D3C44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5146">
    <w:abstractNumId w:val="0"/>
  </w:num>
  <w:num w:numId="2" w16cid:durableId="1425880131">
    <w:abstractNumId w:val="2"/>
  </w:num>
  <w:num w:numId="3" w16cid:durableId="116473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C718C"/>
    <w:rsid w:val="00076326"/>
    <w:rsid w:val="00081E75"/>
    <w:rsid w:val="0008610A"/>
    <w:rsid w:val="001D621A"/>
    <w:rsid w:val="00362217"/>
    <w:rsid w:val="003B3A62"/>
    <w:rsid w:val="00441B81"/>
    <w:rsid w:val="005E7DC7"/>
    <w:rsid w:val="007365A5"/>
    <w:rsid w:val="007403AB"/>
    <w:rsid w:val="00912B70"/>
    <w:rsid w:val="00AF27FA"/>
    <w:rsid w:val="00B24DF0"/>
    <w:rsid w:val="00B807B3"/>
    <w:rsid w:val="00C35A26"/>
    <w:rsid w:val="00C50B44"/>
    <w:rsid w:val="00C91AC2"/>
    <w:rsid w:val="00CC62DA"/>
    <w:rsid w:val="00D75310"/>
    <w:rsid w:val="00DD5207"/>
    <w:rsid w:val="00E01F58"/>
    <w:rsid w:val="00E564D0"/>
    <w:rsid w:val="00EA27A8"/>
    <w:rsid w:val="00ED7969"/>
    <w:rsid w:val="00EF3336"/>
    <w:rsid w:val="00F17316"/>
    <w:rsid w:val="00F9666B"/>
    <w:rsid w:val="0DA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5CDD86"/>
  <w15:docId w15:val="{F7C81759-C1B3-40A3-997D-14435B51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qFormat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99"/>
    <w:pPr>
      <w:ind w:left="720"/>
      <w:contextualSpacing/>
    </w:p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74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403AB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EncabezadoCar">
    <w:name w:val="Encabezado Car"/>
    <w:basedOn w:val="Fuentedeprrafopredeter"/>
    <w:link w:val="Encabezado"/>
    <w:rsid w:val="00C50B44"/>
    <w:rPr>
      <w:rFonts w:eastAsiaTheme="minorEastAsia"/>
      <w:lang w:val="en-US"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76326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53451-6CE9-4F7A-92C5-AFCF2EE5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linam</dc:creator>
  <cp:lastModifiedBy>ALEXANDRA MARÍA VILLA GÓMEZ</cp:lastModifiedBy>
  <cp:revision>7</cp:revision>
  <cp:lastPrinted>2019-09-27T03:38:00Z</cp:lastPrinted>
  <dcterms:created xsi:type="dcterms:W3CDTF">2022-01-19T17:18:00Z</dcterms:created>
  <dcterms:modified xsi:type="dcterms:W3CDTF">2022-08-18T03:54:00Z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