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1DAB" w14:textId="77C9BD83" w:rsidR="0047770B" w:rsidRDefault="00FB5BD8" w:rsidP="0047770B">
      <w:pPr>
        <w:jc w:val="center"/>
        <w:rPr>
          <w:b/>
          <w:bCs/>
        </w:rPr>
      </w:pPr>
      <w:r w:rsidRPr="00FB5BD8">
        <w:rPr>
          <w:b/>
          <w:bCs/>
          <w:highlight w:val="yellow"/>
        </w:rPr>
        <w:t>Материал для сцены с декларацией</w:t>
      </w:r>
      <w:r w:rsidR="0047770B">
        <w:rPr>
          <w:b/>
          <w:bCs/>
          <w:highlight w:val="yellow"/>
        </w:rPr>
        <w:t xml:space="preserve"> (сведениями)</w:t>
      </w:r>
      <w:r w:rsidRPr="00FB5BD8">
        <w:rPr>
          <w:b/>
          <w:bCs/>
          <w:highlight w:val="yellow"/>
        </w:rPr>
        <w:t>:</w:t>
      </w:r>
    </w:p>
    <w:p w14:paraId="2B675955" w14:textId="77777777" w:rsidR="00FB5BD8" w:rsidRDefault="00FB5BD8">
      <w:pPr>
        <w:rPr>
          <w:b/>
          <w:bCs/>
        </w:rPr>
      </w:pPr>
    </w:p>
    <w:p w14:paraId="1A3759E4" w14:textId="0B75B3E1" w:rsidR="0047770B" w:rsidRDefault="0047770B">
      <w:pPr>
        <w:rPr>
          <w:b/>
          <w:bCs/>
        </w:rPr>
      </w:pPr>
      <w:r>
        <w:rPr>
          <w:b/>
          <w:bCs/>
        </w:rPr>
        <w:t>Информация, которую также можно использовать в сцене в качестве вводной информации:</w:t>
      </w:r>
    </w:p>
    <w:p w14:paraId="53C89298" w14:textId="77777777" w:rsidR="0047770B" w:rsidRDefault="0047770B">
      <w:pPr>
        <w:rPr>
          <w:b/>
          <w:bCs/>
        </w:rPr>
      </w:pPr>
    </w:p>
    <w:p w14:paraId="704DDA23" w14:textId="0E500BEA" w:rsidR="00CD5A61" w:rsidRDefault="00FB5BD8">
      <w:r w:rsidRPr="00FB5BD8">
        <w:rPr>
          <w:b/>
          <w:bCs/>
        </w:rPr>
        <w:t>Сроки предоставления сведений:</w:t>
      </w:r>
      <w:r>
        <w:t xml:space="preserve"> </w:t>
      </w:r>
    </w:p>
    <w:p w14:paraId="62D89694" w14:textId="4C421D4B" w:rsidR="00FB5BD8" w:rsidRPr="0047770B" w:rsidRDefault="00FB5BD8" w:rsidP="0047770B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- </w:t>
      </w:r>
      <w:r w:rsidRPr="00FB5BD8">
        <w:rPr>
          <w:rFonts w:eastAsia="Calibri" w:cs="Times New Roman"/>
          <w:szCs w:val="28"/>
        </w:rPr>
        <w:t>не позднее 30 апреля года, следующего за отчетным (государственные служащие, муниципальные служащие</w:t>
      </w:r>
      <w:r>
        <w:rPr>
          <w:rFonts w:eastAsia="Calibri" w:cs="Times New Roman"/>
          <w:szCs w:val="28"/>
        </w:rPr>
        <w:t>).</w:t>
      </w:r>
      <w:r w:rsidR="0047770B">
        <w:rPr>
          <w:rFonts w:eastAsia="Calibri" w:cs="Times New Roman"/>
          <w:szCs w:val="28"/>
        </w:rPr>
        <w:t xml:space="preserve"> </w:t>
      </w:r>
      <w:r w:rsidRPr="00FB5BD8">
        <w:rPr>
          <w:szCs w:val="28"/>
        </w:rPr>
        <w:t xml:space="preserve">Сведения могут быть представлены служащим в любое время, начиная с 1 января года, следующего за отчетным. </w:t>
      </w:r>
    </w:p>
    <w:p w14:paraId="08EAF754" w14:textId="391F1494" w:rsidR="00FB5BD8" w:rsidRDefault="00FB5BD8" w:rsidP="00FB5BD8">
      <w:pPr>
        <w:tabs>
          <w:tab w:val="left" w:pos="567"/>
          <w:tab w:val="left" w:pos="1134"/>
        </w:tabs>
        <w:rPr>
          <w:szCs w:val="28"/>
        </w:rPr>
      </w:pPr>
    </w:p>
    <w:p w14:paraId="0F1B70B1" w14:textId="77777777" w:rsidR="00FB5BD8" w:rsidRPr="002A19F0" w:rsidRDefault="00FB5BD8" w:rsidP="00FB5BD8">
      <w:pPr>
        <w:tabs>
          <w:tab w:val="left" w:pos="567"/>
        </w:tabs>
        <w:rPr>
          <w:b/>
          <w:szCs w:val="28"/>
        </w:rPr>
      </w:pPr>
      <w:r w:rsidRPr="002A19F0">
        <w:rPr>
          <w:b/>
          <w:szCs w:val="28"/>
        </w:rPr>
        <w:t>Лица, в отношении которых представляются Сведения</w:t>
      </w:r>
    </w:p>
    <w:p w14:paraId="2ABEE296" w14:textId="77777777" w:rsidR="00FB5BD8" w:rsidRPr="00FB5BD8" w:rsidRDefault="00FB5BD8" w:rsidP="00FB5BD8">
      <w:pPr>
        <w:tabs>
          <w:tab w:val="left" w:pos="567"/>
          <w:tab w:val="left" w:pos="1134"/>
        </w:tabs>
        <w:rPr>
          <w:szCs w:val="28"/>
        </w:rPr>
      </w:pPr>
      <w:r w:rsidRPr="00FB5BD8">
        <w:rPr>
          <w:szCs w:val="28"/>
        </w:rPr>
        <w:t>Сведения представляются отдельно:</w:t>
      </w:r>
    </w:p>
    <w:p w14:paraId="78075561" w14:textId="2B701CBA" w:rsidR="00FB5BD8" w:rsidRPr="002A19F0" w:rsidRDefault="00FB5BD8" w:rsidP="0047770B">
      <w:pPr>
        <w:tabs>
          <w:tab w:val="left" w:pos="567"/>
        </w:tabs>
        <w:rPr>
          <w:szCs w:val="28"/>
        </w:rPr>
      </w:pPr>
      <w:r w:rsidRPr="002A19F0">
        <w:rPr>
          <w:szCs w:val="28"/>
        </w:rPr>
        <w:t>1) в отношении служаще</w:t>
      </w:r>
      <w:r>
        <w:rPr>
          <w:szCs w:val="28"/>
        </w:rPr>
        <w:t>го,</w:t>
      </w:r>
    </w:p>
    <w:p w14:paraId="4C634F9E" w14:textId="77777777" w:rsidR="00FB5BD8" w:rsidRPr="002A19F0" w:rsidRDefault="00FB5BD8" w:rsidP="0047770B">
      <w:pPr>
        <w:tabs>
          <w:tab w:val="left" w:pos="567"/>
        </w:tabs>
        <w:rPr>
          <w:szCs w:val="28"/>
        </w:rPr>
      </w:pPr>
      <w:r w:rsidRPr="002A19F0">
        <w:rPr>
          <w:szCs w:val="28"/>
        </w:rPr>
        <w:t>2) в отношении его супруги (супруга),</w:t>
      </w:r>
    </w:p>
    <w:p w14:paraId="18F23119" w14:textId="5DAF3B72" w:rsidR="00FB5BD8" w:rsidRPr="002A19F0" w:rsidRDefault="00FB5BD8" w:rsidP="0047770B">
      <w:pPr>
        <w:tabs>
          <w:tab w:val="left" w:pos="567"/>
        </w:tabs>
        <w:rPr>
          <w:szCs w:val="28"/>
        </w:rPr>
      </w:pPr>
      <w:r w:rsidRPr="002A19F0">
        <w:rPr>
          <w:szCs w:val="28"/>
        </w:rPr>
        <w:t>3) в отношении каждого несовершеннолетнего ребенка служащего</w:t>
      </w:r>
      <w:r>
        <w:rPr>
          <w:szCs w:val="28"/>
        </w:rPr>
        <w:t>.</w:t>
      </w:r>
    </w:p>
    <w:p w14:paraId="6309EECF" w14:textId="77777777" w:rsidR="00FB5BD8" w:rsidRPr="00FB5BD8" w:rsidRDefault="00FB5BD8" w:rsidP="00FB5BD8">
      <w:pPr>
        <w:tabs>
          <w:tab w:val="left" w:pos="567"/>
          <w:tab w:val="left" w:pos="1134"/>
        </w:tabs>
        <w:rPr>
          <w:szCs w:val="28"/>
        </w:rPr>
      </w:pPr>
    </w:p>
    <w:p w14:paraId="11A625CA" w14:textId="50C8AA85" w:rsidR="00FB5BD8" w:rsidRDefault="00FB5BD8">
      <w:pPr>
        <w:rPr>
          <w:szCs w:val="28"/>
        </w:rPr>
      </w:pPr>
      <w:r w:rsidRPr="002A19F0">
        <w:rPr>
          <w:szCs w:val="28"/>
        </w:rPr>
        <w:t>Например, служащий (работник), имеющий супругу и двоих несовершеннолетних детей, обязан представить четыре справки – отдельно на себя и на каждого члена семьи.</w:t>
      </w:r>
    </w:p>
    <w:p w14:paraId="3D429A6A" w14:textId="3F2AB624" w:rsidR="00FB5BD8" w:rsidRDefault="00FB5BD8" w:rsidP="00FB5BD8">
      <w:pPr>
        <w:rPr>
          <w:szCs w:val="28"/>
        </w:rPr>
      </w:pPr>
    </w:p>
    <w:p w14:paraId="0F112A63" w14:textId="5F423EE9" w:rsidR="00FB5BD8" w:rsidRPr="0047770B" w:rsidRDefault="0047770B" w:rsidP="00FB5BD8">
      <w:pPr>
        <w:tabs>
          <w:tab w:val="left" w:pos="567"/>
          <w:tab w:val="left" w:pos="1276"/>
        </w:tabs>
        <w:rPr>
          <w:b/>
          <w:bCs/>
          <w:szCs w:val="28"/>
        </w:rPr>
      </w:pPr>
      <w:r w:rsidRPr="0047770B">
        <w:rPr>
          <w:b/>
          <w:bCs/>
          <w:szCs w:val="28"/>
        </w:rPr>
        <w:t>Что предоставляется? Служащий представляет</w:t>
      </w:r>
      <w:r w:rsidR="00FB5BD8" w:rsidRPr="0047770B">
        <w:rPr>
          <w:b/>
          <w:bCs/>
          <w:szCs w:val="28"/>
        </w:rPr>
        <w:t xml:space="preserve"> ежегодно:</w:t>
      </w:r>
    </w:p>
    <w:p w14:paraId="05F255AF" w14:textId="77777777" w:rsidR="00FB5BD8" w:rsidRPr="002A19F0" w:rsidRDefault="00FB5BD8" w:rsidP="00FB5BD8">
      <w:pPr>
        <w:tabs>
          <w:tab w:val="left" w:pos="567"/>
          <w:tab w:val="left" w:pos="1276"/>
        </w:tabs>
        <w:ind w:firstLine="567"/>
        <w:rPr>
          <w:szCs w:val="28"/>
        </w:rPr>
      </w:pPr>
      <w:r w:rsidRPr="002A19F0">
        <w:rPr>
          <w:szCs w:val="28"/>
        </w:rPr>
        <w:t>а) сведения о своих доходах и расходах, доходах и расходах супруги (супруга) и несовершеннолетних детей, полученных за календарный год, предшествующий году представления Сведений (с 1 января по 31 декабря), а также сведения о недвижимом имуществе, транспортных средствах, ценных бумагах, цифровых финансовых активах, цифровых правах, включающих одновременно цифровые финансовые активы и иные цифровые права, об утилитарных цифровых правах и цифровой валюте, отчужденных в течение указанного периода в результате безвозмездной сделки;</w:t>
      </w:r>
    </w:p>
    <w:p w14:paraId="3CCDDAB7" w14:textId="77777777" w:rsidR="00FB5BD8" w:rsidRPr="002A19F0" w:rsidRDefault="00FB5BD8" w:rsidP="00FB5BD8">
      <w:pPr>
        <w:tabs>
          <w:tab w:val="left" w:pos="567"/>
          <w:tab w:val="left" w:pos="1276"/>
        </w:tabs>
        <w:ind w:firstLine="567"/>
        <w:rPr>
          <w:szCs w:val="28"/>
        </w:rPr>
      </w:pPr>
      <w:r w:rsidRPr="002A19F0">
        <w:rPr>
          <w:szCs w:val="28"/>
        </w:rPr>
        <w:t>б) сведения об имуществе, принадлежащем ему, его супруге (супругу) и несовершеннолетним детям на праве собственности, сведения о счетах в банках и иных кредитных организациях, ценных бумагах, об обязательствах имущественного характера по состоянию на конец отчетного периода (31 декабря года, предшествующего году представления Сведений);</w:t>
      </w:r>
    </w:p>
    <w:p w14:paraId="07E72263" w14:textId="610A1CD7" w:rsidR="0047770B" w:rsidRDefault="0047770B" w:rsidP="0047770B">
      <w:pPr>
        <w:tabs>
          <w:tab w:val="left" w:pos="567"/>
        </w:tabs>
        <w:rPr>
          <w:b/>
          <w:szCs w:val="28"/>
        </w:rPr>
      </w:pPr>
      <w:r w:rsidRPr="002F7A67">
        <w:rPr>
          <w:b/>
          <w:szCs w:val="28"/>
          <w:highlight w:val="yellow"/>
        </w:rPr>
        <w:lastRenderedPageBreak/>
        <w:t xml:space="preserve">При перечислении в игре информации, которая должна включаться в сведения, важно понимать, что сведения предоставляются </w:t>
      </w:r>
      <w:r w:rsidR="002F7A67" w:rsidRPr="002F7A67">
        <w:rPr>
          <w:b/>
          <w:szCs w:val="28"/>
          <w:highlight w:val="yellow"/>
        </w:rPr>
        <w:t>ежегодно за отчетный период (например, в начале 2023 года предоставлялись сведения за 2022 год).</w:t>
      </w:r>
    </w:p>
    <w:p w14:paraId="37A86A65" w14:textId="7B174B9F" w:rsidR="0047770B" w:rsidRPr="00FF4A92" w:rsidRDefault="002F7A67" w:rsidP="0047770B">
      <w:pPr>
        <w:tabs>
          <w:tab w:val="left" w:pos="567"/>
        </w:tabs>
        <w:rPr>
          <w:bCs/>
          <w:szCs w:val="28"/>
        </w:rPr>
      </w:pPr>
      <w:r w:rsidRPr="00FF4A92">
        <w:rPr>
          <w:bCs/>
          <w:szCs w:val="28"/>
        </w:rPr>
        <w:t xml:space="preserve">Исходя из </w:t>
      </w:r>
      <w:r w:rsidR="00FF4A92" w:rsidRPr="00FF4A92">
        <w:rPr>
          <w:bCs/>
          <w:szCs w:val="28"/>
        </w:rPr>
        <w:t xml:space="preserve">этого можно моделировать ситуации в привязке к конкретному отчетному периоду, например: </w:t>
      </w:r>
    </w:p>
    <w:p w14:paraId="3A5F2285" w14:textId="77777777" w:rsidR="0047770B" w:rsidRDefault="0047770B" w:rsidP="0047770B">
      <w:pPr>
        <w:tabs>
          <w:tab w:val="left" w:pos="567"/>
        </w:tabs>
        <w:rPr>
          <w:b/>
          <w:szCs w:val="28"/>
        </w:rPr>
      </w:pPr>
    </w:p>
    <w:p w14:paraId="4DB9D59A" w14:textId="0077A13F" w:rsidR="00FB5BD8" w:rsidRPr="002A19F0" w:rsidRDefault="00FB5BD8" w:rsidP="0047770B">
      <w:pPr>
        <w:tabs>
          <w:tab w:val="left" w:pos="567"/>
        </w:tabs>
        <w:rPr>
          <w:b/>
          <w:szCs w:val="28"/>
        </w:rPr>
      </w:pPr>
      <w:r w:rsidRPr="002A19F0">
        <w:rPr>
          <w:b/>
          <w:szCs w:val="28"/>
        </w:rPr>
        <w:t>Определ</w:t>
      </w:r>
      <w:r w:rsidR="00FF4A92">
        <w:rPr>
          <w:b/>
          <w:szCs w:val="28"/>
        </w:rPr>
        <w:t>ите</w:t>
      </w:r>
      <w:r w:rsidRPr="002A19F0">
        <w:rPr>
          <w:b/>
          <w:szCs w:val="28"/>
        </w:rPr>
        <w:t xml:space="preserve"> круг</w:t>
      </w:r>
      <w:r w:rsidR="00FF4A92">
        <w:rPr>
          <w:b/>
          <w:szCs w:val="28"/>
        </w:rPr>
        <w:t xml:space="preserve"> </w:t>
      </w:r>
      <w:r w:rsidRPr="002A19F0">
        <w:rPr>
          <w:b/>
          <w:szCs w:val="28"/>
        </w:rPr>
        <w:t xml:space="preserve">лиц (членов семьи), в отношении которых необходимо представить </w:t>
      </w:r>
      <w:r w:rsidR="00FF4A92">
        <w:rPr>
          <w:b/>
          <w:szCs w:val="28"/>
        </w:rPr>
        <w:t>с</w:t>
      </w:r>
      <w:r w:rsidRPr="002A19F0">
        <w:rPr>
          <w:b/>
          <w:szCs w:val="28"/>
        </w:rPr>
        <w:t>ведения</w:t>
      </w:r>
      <w:r w:rsidR="00FF4A92">
        <w:rPr>
          <w:b/>
          <w:szCs w:val="28"/>
        </w:rPr>
        <w:t>:</w:t>
      </w:r>
    </w:p>
    <w:p w14:paraId="649A508D" w14:textId="41E8F3B8" w:rsidR="00FB5BD8" w:rsidRDefault="00FB5BD8" w:rsidP="00FB5BD8">
      <w:pPr>
        <w:rPr>
          <w:szCs w:val="28"/>
        </w:rPr>
      </w:pPr>
      <w:r w:rsidRPr="002937E4">
        <w:rPr>
          <w:szCs w:val="28"/>
        </w:rPr>
        <w:t xml:space="preserve">Пример: служащий (работник) представляет Сведения в 2023 году </w:t>
      </w:r>
      <w:r w:rsidRPr="002937E4">
        <w:rPr>
          <w:szCs w:val="28"/>
        </w:rPr>
        <w:br/>
        <w:t>(за отчетный 2022 г.)</w:t>
      </w:r>
    </w:p>
    <w:p w14:paraId="20DAC43F" w14:textId="03A755AB" w:rsidR="00FB5BD8" w:rsidRDefault="00FB5BD8" w:rsidP="00FB5BD8">
      <w:pPr>
        <w:rPr>
          <w:szCs w:val="28"/>
        </w:rPr>
      </w:pPr>
    </w:p>
    <w:tbl>
      <w:tblPr>
        <w:tblW w:w="9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6684"/>
      </w:tblGrid>
      <w:tr w:rsidR="00FB5BD8" w:rsidRPr="002937E4" w14:paraId="74029456" w14:textId="77777777" w:rsidTr="00FB5BD8">
        <w:trPr>
          <w:trHeight w:val="2204"/>
        </w:trPr>
        <w:tc>
          <w:tcPr>
            <w:tcW w:w="2884" w:type="dxa"/>
            <w:shd w:val="clear" w:color="auto" w:fill="auto"/>
          </w:tcPr>
          <w:p w14:paraId="7CF1B2D3" w14:textId="77777777" w:rsidR="00FB5BD8" w:rsidRPr="002937E4" w:rsidRDefault="00FB5BD8" w:rsidP="00AC2712">
            <w:pPr>
              <w:jc w:val="left"/>
              <w:rPr>
                <w:szCs w:val="28"/>
              </w:rPr>
            </w:pPr>
            <w:r w:rsidRPr="002937E4">
              <w:rPr>
                <w:szCs w:val="28"/>
              </w:rPr>
              <w:t>Брак заключен в органах записи актов гражданского состояния (далее – ЗАГС) в ноябре 2022 года</w:t>
            </w:r>
          </w:p>
        </w:tc>
        <w:tc>
          <w:tcPr>
            <w:tcW w:w="6684" w:type="dxa"/>
            <w:shd w:val="clear" w:color="auto" w:fill="auto"/>
          </w:tcPr>
          <w:p w14:paraId="5F66561E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супруги (супруга) представляются, поскольку по состоянию на отчетную дату (31 декабря 2022 года) служащий (работник) состоял в браке</w:t>
            </w:r>
          </w:p>
        </w:tc>
      </w:tr>
      <w:tr w:rsidR="00FB5BD8" w:rsidRPr="002937E4" w14:paraId="50408E8B" w14:textId="77777777" w:rsidTr="00FB5BD8">
        <w:trPr>
          <w:trHeight w:val="1520"/>
        </w:trPr>
        <w:tc>
          <w:tcPr>
            <w:tcW w:w="2884" w:type="dxa"/>
            <w:shd w:val="clear" w:color="auto" w:fill="auto"/>
          </w:tcPr>
          <w:p w14:paraId="2201A679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 xml:space="preserve">Брак заключен в </w:t>
            </w:r>
            <w:proofErr w:type="spellStart"/>
            <w:r w:rsidRPr="002937E4">
              <w:rPr>
                <w:szCs w:val="28"/>
              </w:rPr>
              <w:t>ЗАГСе</w:t>
            </w:r>
            <w:proofErr w:type="spellEnd"/>
            <w:r w:rsidRPr="002937E4">
              <w:rPr>
                <w:szCs w:val="28"/>
              </w:rPr>
              <w:t xml:space="preserve"> в марте 2023 года</w:t>
            </w:r>
          </w:p>
        </w:tc>
        <w:tc>
          <w:tcPr>
            <w:tcW w:w="6684" w:type="dxa"/>
            <w:shd w:val="clear" w:color="auto" w:fill="auto"/>
          </w:tcPr>
          <w:p w14:paraId="345C33EB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 xml:space="preserve">Сведения в отношении супруги (супруга) не представляются, поскольку по состоянию на отчетную дату (31 декабря 2022 года) служащий (работник) не состоял в браке </w:t>
            </w:r>
          </w:p>
        </w:tc>
      </w:tr>
      <w:tr w:rsidR="00FB5BD8" w:rsidRPr="002937E4" w14:paraId="15BA9161" w14:textId="77777777" w:rsidTr="00FB5BD8">
        <w:trPr>
          <w:trHeight w:val="1178"/>
        </w:trPr>
        <w:tc>
          <w:tcPr>
            <w:tcW w:w="9568" w:type="dxa"/>
            <w:gridSpan w:val="2"/>
            <w:shd w:val="clear" w:color="auto" w:fill="auto"/>
          </w:tcPr>
          <w:p w14:paraId="57A951F9" w14:textId="77777777" w:rsidR="00FB5BD8" w:rsidRPr="002937E4" w:rsidRDefault="00FB5BD8" w:rsidP="00AC2712">
            <w:pPr>
              <w:ind w:left="34"/>
              <w:rPr>
                <w:szCs w:val="28"/>
              </w:rPr>
            </w:pPr>
            <w:r w:rsidRPr="002937E4">
              <w:rPr>
                <w:szCs w:val="28"/>
              </w:rPr>
              <w:t>Пример: гражданин в сентябре 2023 года представляет Сведения в связи с подачей документов для назначения на должность. Отчетной датой является 1 августа 2023 года</w:t>
            </w:r>
          </w:p>
        </w:tc>
      </w:tr>
      <w:tr w:rsidR="00FB5BD8" w:rsidRPr="002937E4" w14:paraId="481CD011" w14:textId="77777777" w:rsidTr="00FB5BD8">
        <w:trPr>
          <w:trHeight w:val="648"/>
        </w:trPr>
        <w:tc>
          <w:tcPr>
            <w:tcW w:w="2884" w:type="dxa"/>
            <w:shd w:val="clear" w:color="auto" w:fill="auto"/>
          </w:tcPr>
          <w:p w14:paraId="3167FA80" w14:textId="77777777" w:rsidR="00FB5BD8" w:rsidRPr="002937E4" w:rsidRDefault="00FB5BD8" w:rsidP="00AC2712">
            <w:pPr>
              <w:ind w:left="34"/>
              <w:rPr>
                <w:szCs w:val="28"/>
              </w:rPr>
            </w:pPr>
            <w:r w:rsidRPr="002937E4">
              <w:rPr>
                <w:szCs w:val="28"/>
              </w:rPr>
              <w:t>Брак заключен 1 февраля 2023 года</w:t>
            </w:r>
          </w:p>
        </w:tc>
        <w:tc>
          <w:tcPr>
            <w:tcW w:w="6684" w:type="dxa"/>
            <w:shd w:val="clear" w:color="auto" w:fill="auto"/>
          </w:tcPr>
          <w:p w14:paraId="7D01C62E" w14:textId="77777777" w:rsidR="00FB5BD8" w:rsidRPr="002937E4" w:rsidRDefault="00FB5BD8" w:rsidP="00AC2712">
            <w:pPr>
              <w:ind w:left="34"/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супруги представляются, поскольку по состоянию на отчетную дату (1 августа 2023 года) гражданин состоял в браке</w:t>
            </w:r>
          </w:p>
        </w:tc>
      </w:tr>
      <w:tr w:rsidR="00FB5BD8" w:rsidRPr="002937E4" w14:paraId="0354AC5C" w14:textId="77777777" w:rsidTr="00FB5BD8">
        <w:trPr>
          <w:trHeight w:val="128"/>
        </w:trPr>
        <w:tc>
          <w:tcPr>
            <w:tcW w:w="2884" w:type="dxa"/>
            <w:shd w:val="clear" w:color="auto" w:fill="auto"/>
          </w:tcPr>
          <w:p w14:paraId="1466F1AC" w14:textId="77777777" w:rsidR="00FB5BD8" w:rsidRPr="002937E4" w:rsidRDefault="00FB5BD8" w:rsidP="00AC2712">
            <w:pPr>
              <w:ind w:left="34"/>
              <w:rPr>
                <w:szCs w:val="28"/>
              </w:rPr>
            </w:pPr>
            <w:r w:rsidRPr="002937E4">
              <w:rPr>
                <w:szCs w:val="28"/>
              </w:rPr>
              <w:t>Брак заключен 2 августа 2023 года</w:t>
            </w:r>
          </w:p>
        </w:tc>
        <w:tc>
          <w:tcPr>
            <w:tcW w:w="6684" w:type="dxa"/>
            <w:shd w:val="clear" w:color="auto" w:fill="auto"/>
          </w:tcPr>
          <w:p w14:paraId="4C5210A0" w14:textId="77777777" w:rsidR="00FB5BD8" w:rsidRPr="002937E4" w:rsidRDefault="00FB5BD8" w:rsidP="00AC2712">
            <w:pPr>
              <w:ind w:left="34"/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супруги не представляются, поскольку по состоянию на отчетную дату (1 августа 2023 года) гражданин еще не вступил в брак</w:t>
            </w:r>
          </w:p>
        </w:tc>
      </w:tr>
    </w:tbl>
    <w:p w14:paraId="458E3E1D" w14:textId="4383CA60" w:rsidR="00FB5BD8" w:rsidRDefault="00FB5BD8" w:rsidP="00FB5BD8"/>
    <w:tbl>
      <w:tblPr>
        <w:tblW w:w="9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7"/>
        <w:gridCol w:w="6583"/>
      </w:tblGrid>
      <w:tr w:rsidR="00FB5BD8" w:rsidRPr="002937E4" w14:paraId="3BC1538E" w14:textId="77777777" w:rsidTr="00FB5BD8">
        <w:trPr>
          <w:trHeight w:val="486"/>
        </w:trPr>
        <w:tc>
          <w:tcPr>
            <w:tcW w:w="9460" w:type="dxa"/>
            <w:gridSpan w:val="2"/>
          </w:tcPr>
          <w:p w14:paraId="0220B4B6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Пример: служащий (работник) представляет Сведения в 2023 году (за отчетный 2022 г.)</w:t>
            </w:r>
          </w:p>
        </w:tc>
      </w:tr>
      <w:tr w:rsidR="00FB5BD8" w:rsidRPr="002937E4" w14:paraId="1FDB4CB3" w14:textId="77777777" w:rsidTr="00FB5BD8">
        <w:trPr>
          <w:trHeight w:val="486"/>
        </w:trPr>
        <w:tc>
          <w:tcPr>
            <w:tcW w:w="2877" w:type="dxa"/>
          </w:tcPr>
          <w:p w14:paraId="02AF333A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lastRenderedPageBreak/>
              <w:t xml:space="preserve">Брак был расторгнут в </w:t>
            </w:r>
            <w:proofErr w:type="spellStart"/>
            <w:r w:rsidRPr="002937E4">
              <w:rPr>
                <w:szCs w:val="28"/>
              </w:rPr>
              <w:t>ЗАГСе</w:t>
            </w:r>
            <w:proofErr w:type="spellEnd"/>
            <w:r w:rsidRPr="002937E4">
              <w:rPr>
                <w:szCs w:val="28"/>
              </w:rPr>
              <w:t xml:space="preserve"> в ноябре 2022 года</w:t>
            </w:r>
          </w:p>
        </w:tc>
        <w:tc>
          <w:tcPr>
            <w:tcW w:w="6583" w:type="dxa"/>
          </w:tcPr>
          <w:p w14:paraId="164CEAE0" w14:textId="77777777" w:rsidR="00FB5BD8" w:rsidRPr="002937E4" w:rsidRDefault="00FB5BD8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бывшей супруги не представляются, поскольку по состоянию на отчетную дату (31 декабря 2022 года) служащий (работник) не состоял в браке</w:t>
            </w:r>
          </w:p>
        </w:tc>
      </w:tr>
    </w:tbl>
    <w:p w14:paraId="31F79520" w14:textId="073F47E7" w:rsidR="00FB5BD8" w:rsidRDefault="00FB5BD8" w:rsidP="00FB5BD8"/>
    <w:p w14:paraId="21B61C19" w14:textId="6260A0E1" w:rsidR="00514B2F" w:rsidRDefault="00514B2F" w:rsidP="00514B2F"/>
    <w:p w14:paraId="5AF870C3" w14:textId="0871ACE8" w:rsidR="00514B2F" w:rsidRPr="00514B2F" w:rsidRDefault="00FF4A92" w:rsidP="00514B2F">
      <w:pPr>
        <w:tabs>
          <w:tab w:val="left" w:pos="567"/>
        </w:tabs>
        <w:rPr>
          <w:b/>
          <w:szCs w:val="28"/>
        </w:rPr>
      </w:pPr>
      <w:r>
        <w:rPr>
          <w:b/>
          <w:szCs w:val="28"/>
        </w:rPr>
        <w:t xml:space="preserve"> </w:t>
      </w:r>
      <w:r w:rsidR="00514B2F" w:rsidRPr="00514B2F">
        <w:rPr>
          <w:b/>
          <w:szCs w:val="28"/>
        </w:rPr>
        <w:t>Несовершеннолетние дети</w:t>
      </w:r>
    </w:p>
    <w:p w14:paraId="3008C19D" w14:textId="4770BC73" w:rsidR="00514B2F" w:rsidRDefault="00FF4A92" w:rsidP="00514B2F">
      <w:pPr>
        <w:rPr>
          <w:szCs w:val="28"/>
        </w:rPr>
      </w:pPr>
      <w:r>
        <w:rPr>
          <w:szCs w:val="28"/>
        </w:rPr>
        <w:t xml:space="preserve"> </w:t>
      </w:r>
      <w:r w:rsidR="00514B2F" w:rsidRPr="002937E4">
        <w:rPr>
          <w:szCs w:val="28"/>
        </w:rPr>
        <w:t xml:space="preserve">Перечень ситуаций и </w:t>
      </w:r>
      <w:r>
        <w:rPr>
          <w:szCs w:val="28"/>
        </w:rPr>
        <w:t xml:space="preserve">ответы: </w:t>
      </w:r>
    </w:p>
    <w:tbl>
      <w:tblPr>
        <w:tblW w:w="93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508"/>
      </w:tblGrid>
      <w:tr w:rsidR="00514B2F" w:rsidRPr="002937E4" w14:paraId="04ED0AA7" w14:textId="77777777" w:rsidTr="00514B2F">
        <w:trPr>
          <w:trHeight w:val="442"/>
        </w:trPr>
        <w:tc>
          <w:tcPr>
            <w:tcW w:w="9316" w:type="dxa"/>
            <w:gridSpan w:val="2"/>
          </w:tcPr>
          <w:p w14:paraId="30E60F7D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Пример: служащий (работник) представляет Сведения в 2023 году (за отчетный 2022 г.)</w:t>
            </w:r>
          </w:p>
        </w:tc>
      </w:tr>
      <w:tr w:rsidR="00514B2F" w:rsidRPr="002937E4" w14:paraId="538A6B56" w14:textId="77777777" w:rsidTr="00514B2F">
        <w:trPr>
          <w:trHeight w:val="442"/>
        </w:trPr>
        <w:tc>
          <w:tcPr>
            <w:tcW w:w="2808" w:type="dxa"/>
          </w:tcPr>
          <w:p w14:paraId="14BE4CC9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Дочери служащего (работника) 21 мая 2022 года исполнилось 18 лет</w:t>
            </w:r>
          </w:p>
        </w:tc>
        <w:tc>
          <w:tcPr>
            <w:tcW w:w="6508" w:type="dxa"/>
          </w:tcPr>
          <w:p w14:paraId="639483A0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дочери не представляются, поскольку по состоянию на отчетную дату (31 декабря 2022 года) дочери служащего (работника) уже исполнилось 18 лет, она являлась совершеннолетней</w:t>
            </w:r>
          </w:p>
        </w:tc>
      </w:tr>
      <w:tr w:rsidR="00514B2F" w:rsidRPr="002937E4" w14:paraId="6984DB70" w14:textId="77777777" w:rsidTr="00514B2F">
        <w:trPr>
          <w:trHeight w:val="442"/>
        </w:trPr>
        <w:tc>
          <w:tcPr>
            <w:tcW w:w="2808" w:type="dxa"/>
          </w:tcPr>
          <w:p w14:paraId="0044B6C3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Дочери служащего (работника) 30 декабря 2022 года исполнилось 18 лет</w:t>
            </w:r>
          </w:p>
        </w:tc>
        <w:tc>
          <w:tcPr>
            <w:tcW w:w="6508" w:type="dxa"/>
          </w:tcPr>
          <w:p w14:paraId="6723F542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дочери не представляются, поскольку по состоянию на отчетную дату (31 декабря 2022 года) дочери служащего (работника) уже исполнилось 18 лет, она являлась совершеннолетней</w:t>
            </w:r>
          </w:p>
        </w:tc>
      </w:tr>
      <w:tr w:rsidR="00514B2F" w:rsidRPr="002937E4" w14:paraId="4DCA5625" w14:textId="77777777" w:rsidTr="00514B2F">
        <w:trPr>
          <w:trHeight w:val="442"/>
        </w:trPr>
        <w:tc>
          <w:tcPr>
            <w:tcW w:w="2808" w:type="dxa"/>
          </w:tcPr>
          <w:p w14:paraId="28E34695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Дочери служащего (работника) 31 декабря 2022 года исполнилось 18 лет</w:t>
            </w:r>
          </w:p>
        </w:tc>
        <w:tc>
          <w:tcPr>
            <w:tcW w:w="6508" w:type="dxa"/>
          </w:tcPr>
          <w:p w14:paraId="32179560" w14:textId="77777777" w:rsidR="00514B2F" w:rsidRPr="002937E4" w:rsidRDefault="00514B2F" w:rsidP="00AC2712">
            <w:pPr>
              <w:rPr>
                <w:szCs w:val="28"/>
              </w:rPr>
            </w:pPr>
            <w:r w:rsidRPr="002937E4">
              <w:rPr>
                <w:szCs w:val="28"/>
              </w:rPr>
              <w:t>Сведения в отношении дочери представляются, поскольку дочь служащего (работника) считается достигшей возраста 18 лет на следующий день после дня рождения, то есть 1 января 2023 года. Таким образом, по состоянию на отчетную дату (31 декабря 2022 года) она еще являлась несовершеннолетней</w:t>
            </w:r>
          </w:p>
        </w:tc>
      </w:tr>
    </w:tbl>
    <w:p w14:paraId="7A135B79" w14:textId="1852F0F8" w:rsidR="00514B2F" w:rsidRDefault="00514B2F" w:rsidP="00514B2F"/>
    <w:p w14:paraId="40F31357" w14:textId="4839C1C1" w:rsidR="00514B2F" w:rsidRDefault="00514B2F" w:rsidP="00514B2F"/>
    <w:p w14:paraId="6ACAD816" w14:textId="0B6B685A" w:rsidR="00514B2F" w:rsidRDefault="00514B2F" w:rsidP="00514B2F">
      <w:pPr>
        <w:jc w:val="center"/>
        <w:rPr>
          <w:b/>
          <w:szCs w:val="28"/>
        </w:rPr>
      </w:pPr>
      <w:r>
        <w:t xml:space="preserve">Заполнение </w:t>
      </w:r>
      <w:r w:rsidRPr="002937E4">
        <w:rPr>
          <w:b/>
          <w:szCs w:val="28"/>
        </w:rPr>
        <w:t>справки о доходах, расходах, об имуществе и обязательствах имущественного характера</w:t>
      </w:r>
    </w:p>
    <w:p w14:paraId="328EE8F6" w14:textId="2F8BFBE9" w:rsidR="00514B2F" w:rsidRDefault="00514B2F" w:rsidP="00514B2F">
      <w:pPr>
        <w:rPr>
          <w:b/>
          <w:szCs w:val="28"/>
        </w:rPr>
      </w:pPr>
    </w:p>
    <w:p w14:paraId="47E6B5ED" w14:textId="41A1551B" w:rsidR="00514B2F" w:rsidRPr="00A10E11" w:rsidRDefault="00514B2F" w:rsidP="00514B2F">
      <w:pPr>
        <w:rPr>
          <w:b/>
          <w:bCs/>
        </w:rPr>
      </w:pPr>
      <w:r>
        <w:t xml:space="preserve">Что указывается? </w:t>
      </w:r>
    </w:p>
    <w:p w14:paraId="654ABCE8" w14:textId="21803DB2" w:rsidR="00514B2F" w:rsidRPr="00A10E11" w:rsidRDefault="00514B2F" w:rsidP="00A10E11">
      <w:pPr>
        <w:jc w:val="center"/>
        <w:rPr>
          <w:b/>
          <w:bCs/>
        </w:rPr>
      </w:pPr>
      <w:r w:rsidRPr="00A10E11">
        <w:rPr>
          <w:b/>
          <w:bCs/>
          <w:highlight w:val="yellow"/>
        </w:rPr>
        <w:t>СВЕДЕНИЯ О ДОХОДАХ:</w:t>
      </w:r>
    </w:p>
    <w:p w14:paraId="4FCB97FA" w14:textId="0F101AD0" w:rsidR="00514B2F" w:rsidRDefault="00514B2F" w:rsidP="00514B2F">
      <w:pPr>
        <w:rPr>
          <w:b/>
          <w:szCs w:val="28"/>
        </w:rPr>
      </w:pPr>
      <w:r w:rsidRPr="002A19F0">
        <w:rPr>
          <w:b/>
          <w:szCs w:val="28"/>
        </w:rPr>
        <w:t>Доход по основному месту работы</w:t>
      </w:r>
    </w:p>
    <w:p w14:paraId="19144823" w14:textId="7536F66A" w:rsidR="00514B2F" w:rsidRDefault="00514B2F" w:rsidP="00514B2F">
      <w:pPr>
        <w:tabs>
          <w:tab w:val="left" w:pos="567"/>
          <w:tab w:val="left" w:pos="1276"/>
        </w:tabs>
        <w:rPr>
          <w:b/>
          <w:szCs w:val="28"/>
        </w:rPr>
      </w:pPr>
      <w:r w:rsidRPr="00514B2F">
        <w:rPr>
          <w:b/>
          <w:szCs w:val="28"/>
        </w:rPr>
        <w:lastRenderedPageBreak/>
        <w:t>Доход от педагогической и научной деятельности</w:t>
      </w:r>
    </w:p>
    <w:p w14:paraId="6190338A" w14:textId="77777777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В данной строке указывается сумма дохода от педагогической деятельности (сумма дохода, содержащаяся в Справке о доходах и суммах налога физического лица, выданной по месту преподавания) и дохода от научной деятельности (доходы, полученные по результатам заключенных договоров на выполнение НИОКР и за оказание возмездных услуг в области интеллектуальной деятельности, от публикации статей, учебных пособий и монографий, от использования авторских или иных смежных прав и т.д.).</w:t>
      </w:r>
    </w:p>
    <w:p w14:paraId="589830AD" w14:textId="77777777" w:rsidR="00514B2F" w:rsidRPr="00514B2F" w:rsidRDefault="00514B2F" w:rsidP="00514B2F">
      <w:pPr>
        <w:tabs>
          <w:tab w:val="left" w:pos="567"/>
          <w:tab w:val="left" w:pos="1276"/>
        </w:tabs>
        <w:rPr>
          <w:b/>
          <w:szCs w:val="28"/>
        </w:rPr>
      </w:pPr>
    </w:p>
    <w:p w14:paraId="5FC0A27A" w14:textId="77777777" w:rsidR="00514B2F" w:rsidRPr="00514B2F" w:rsidRDefault="00514B2F" w:rsidP="00514B2F">
      <w:pPr>
        <w:tabs>
          <w:tab w:val="left" w:pos="567"/>
        </w:tabs>
        <w:rPr>
          <w:b/>
          <w:szCs w:val="28"/>
        </w:rPr>
      </w:pPr>
      <w:r w:rsidRPr="00514B2F">
        <w:rPr>
          <w:b/>
          <w:szCs w:val="28"/>
        </w:rPr>
        <w:t>Доход от иной творческой деятельности</w:t>
      </w:r>
    </w:p>
    <w:p w14:paraId="22260D1D" w14:textId="77777777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В данной строке указывается сумма доходов, полученных в разных сферах творческой деятельности (технической, художественной, публицистической и т.д.), включающих доход от создания литературных произведений (их публикации), фоторабот для печати, произведений архитектуры и дизайна, произведений скульптуры, аудиовизуальных произведений (видео-, теле- и кинофильмов), музыкальных произведений, гонорары за участие в съемках и т.д.</w:t>
      </w:r>
    </w:p>
    <w:p w14:paraId="28D1CA8F" w14:textId="77777777" w:rsidR="00514B2F" w:rsidRPr="00514B2F" w:rsidRDefault="00514B2F" w:rsidP="00FF4A92">
      <w:pPr>
        <w:pStyle w:val="Default"/>
        <w:tabs>
          <w:tab w:val="left" w:pos="567"/>
        </w:tabs>
        <w:ind w:firstLine="0"/>
        <w:rPr>
          <w:i/>
          <w:iCs/>
          <w:color w:val="auto"/>
          <w:sz w:val="28"/>
          <w:szCs w:val="28"/>
        </w:rPr>
      </w:pPr>
      <w:r w:rsidRPr="00514B2F">
        <w:rPr>
          <w:i/>
          <w:iCs/>
          <w:color w:val="auto"/>
          <w:sz w:val="28"/>
          <w:szCs w:val="28"/>
        </w:rPr>
        <w:t>Подлежат указанию в строках 2, 3 суммы, полученные в виде грантов, предоставляемых для поддержки науки и образования, культуры и искусства в Российской Федерации от международных и иных организаций, в виде международных (и иных) премий за выдающиеся достижения в области науки и техники, литературы и искусства, образования, культуры и т.д.</w:t>
      </w:r>
    </w:p>
    <w:p w14:paraId="77E14B57" w14:textId="7809405F" w:rsidR="00514B2F" w:rsidRDefault="00514B2F" w:rsidP="00514B2F"/>
    <w:p w14:paraId="503F23D5" w14:textId="77777777" w:rsidR="00514B2F" w:rsidRPr="002A19F0" w:rsidRDefault="00514B2F" w:rsidP="00514B2F">
      <w:pPr>
        <w:tabs>
          <w:tab w:val="left" w:pos="567"/>
          <w:tab w:val="left" w:pos="1134"/>
        </w:tabs>
        <w:rPr>
          <w:b/>
          <w:szCs w:val="28"/>
        </w:rPr>
      </w:pPr>
      <w:r w:rsidRPr="002A19F0">
        <w:rPr>
          <w:b/>
          <w:szCs w:val="28"/>
        </w:rPr>
        <w:t>Доход от вкладов в банках и иных кредитных организациях</w:t>
      </w:r>
    </w:p>
    <w:p w14:paraId="5D8704EA" w14:textId="77777777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В данной строке указывается общая сумма доходов, выплаченных в отчетном периоде в виде процентов по любым вкладам (счетам) в банках и иных кредитных организациях, вне зависимости от их вида и валюты, включая такие доходы от вкладов (счетов), закрытых в отчетном периоде. Следует учитывать срок вклада и периодичность начисления по нему процентов.</w:t>
      </w:r>
    </w:p>
    <w:p w14:paraId="1AB7B7E8" w14:textId="77777777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Сведения о наличии соответствующих банковских счетов и вкладов указываются в разделе 4 справки.</w:t>
      </w:r>
    </w:p>
    <w:p w14:paraId="14985166" w14:textId="77777777" w:rsid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Доход, полученный в иностранной валюте, указывается в рублях по курсу Банка России на дату получения дохода</w:t>
      </w:r>
      <w:r>
        <w:rPr>
          <w:i/>
          <w:iCs/>
          <w:szCs w:val="28"/>
        </w:rPr>
        <w:t>.</w:t>
      </w:r>
      <w:r>
        <w:rPr>
          <w:i/>
          <w:iCs/>
          <w:szCs w:val="28"/>
        </w:rPr>
        <w:tab/>
      </w:r>
      <w:r>
        <w:rPr>
          <w:i/>
          <w:iCs/>
          <w:szCs w:val="28"/>
        </w:rPr>
        <w:tab/>
      </w:r>
    </w:p>
    <w:p w14:paraId="151700B2" w14:textId="3277748C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 xml:space="preserve">Денежные средства, выплачиваемые кредитной организацией вкладчику (владельцу счета) при закрытии вклада (счета), в том числе вклада (счета) в драгоценных металлах, за исключением процентов по вкладу (счету), не подлежат отражению в справке </w:t>
      </w:r>
    </w:p>
    <w:p w14:paraId="15F76DE2" w14:textId="5CDE9910" w:rsidR="00514B2F" w:rsidRDefault="00514B2F" w:rsidP="00514B2F"/>
    <w:p w14:paraId="1C90F329" w14:textId="77777777" w:rsidR="00514B2F" w:rsidRPr="002A19F0" w:rsidRDefault="00514B2F" w:rsidP="00FF4A92">
      <w:pPr>
        <w:pStyle w:val="a3"/>
        <w:tabs>
          <w:tab w:val="left" w:pos="567"/>
          <w:tab w:val="left" w:pos="1276"/>
        </w:tabs>
        <w:ind w:left="0" w:firstLine="0"/>
        <w:rPr>
          <w:rFonts w:ascii="Times New Roman" w:hAnsi="Times New Roman"/>
          <w:b/>
          <w:sz w:val="28"/>
          <w:szCs w:val="28"/>
        </w:rPr>
      </w:pPr>
      <w:r w:rsidRPr="002A19F0">
        <w:rPr>
          <w:rFonts w:ascii="Times New Roman" w:hAnsi="Times New Roman"/>
          <w:b/>
          <w:sz w:val="28"/>
          <w:szCs w:val="28"/>
        </w:rPr>
        <w:t>Доход от ценных бумаг и долей участия в коммерческих организациях</w:t>
      </w:r>
    </w:p>
    <w:p w14:paraId="5C2F5D41" w14:textId="77777777" w:rsidR="00514B2F" w:rsidRPr="00514B2F" w:rsidRDefault="00514B2F" w:rsidP="00514B2F">
      <w:pPr>
        <w:tabs>
          <w:tab w:val="left" w:pos="567"/>
        </w:tabs>
        <w:rPr>
          <w:i/>
          <w:iCs/>
          <w:szCs w:val="28"/>
        </w:rPr>
      </w:pPr>
      <w:r w:rsidRPr="00514B2F">
        <w:rPr>
          <w:i/>
          <w:iCs/>
          <w:szCs w:val="28"/>
        </w:rPr>
        <w:t>В данной строке указывается сумма доходов от ценных бумаг и долей участия в коммерческих организациях, в том числе при владении инвестиционным фондом, включающая:</w:t>
      </w:r>
    </w:p>
    <w:p w14:paraId="20197223" w14:textId="77777777" w:rsidR="00514B2F" w:rsidRPr="00514B2F" w:rsidRDefault="00514B2F" w:rsidP="00514B2F">
      <w:pPr>
        <w:pStyle w:val="a3"/>
        <w:tabs>
          <w:tab w:val="left" w:pos="567"/>
        </w:tabs>
        <w:ind w:left="0" w:firstLine="567"/>
        <w:rPr>
          <w:rFonts w:ascii="Times New Roman" w:hAnsi="Times New Roman"/>
          <w:i/>
          <w:iCs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>1) дивиденды, полученные служащим (работником), членом его семьи – акционером (участником) от организации при распределении прибыли, остающейся после налогообложения (в том числе в виде процентов по привилегированным акциям), по принадлежащим акционеру (участнику) акциям (долям) пропорционально долям акционеров (участников) в уставном (складочном) капитале этой организации;</w:t>
      </w:r>
    </w:p>
    <w:p w14:paraId="0B3C754C" w14:textId="77777777" w:rsidR="00514B2F" w:rsidRPr="00514B2F" w:rsidRDefault="00514B2F" w:rsidP="00514B2F">
      <w:pPr>
        <w:pStyle w:val="a3"/>
        <w:tabs>
          <w:tab w:val="left" w:pos="567"/>
        </w:tabs>
        <w:ind w:left="0" w:firstLine="567"/>
        <w:rPr>
          <w:rFonts w:ascii="Times New Roman" w:hAnsi="Times New Roman"/>
          <w:i/>
          <w:iCs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>2) выплаченный купонный доход по облигациям, уменьшенный на уплаченный накопленный купонный доход при приобретении облигации (если в соответствии с требованиями Налогового кодекса Российской Федерации он не должен учитываться при расчете финансового результата в соответствии со статьей 214.1 Налогового кодекса Российской Федерации);</w:t>
      </w:r>
    </w:p>
    <w:p w14:paraId="296C8A26" w14:textId="77777777" w:rsidR="00514B2F" w:rsidRPr="00514B2F" w:rsidRDefault="00514B2F" w:rsidP="00514B2F">
      <w:pPr>
        <w:pStyle w:val="a3"/>
        <w:tabs>
          <w:tab w:val="left" w:pos="567"/>
        </w:tabs>
        <w:ind w:left="0" w:firstLine="567"/>
        <w:rPr>
          <w:rFonts w:ascii="Times New Roman" w:hAnsi="Times New Roman"/>
          <w:i/>
          <w:iCs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>3) дисконт, полученный в качестве дохода по облигациям;</w:t>
      </w:r>
    </w:p>
    <w:p w14:paraId="43FCADB8" w14:textId="77777777" w:rsidR="00514B2F" w:rsidRPr="00514B2F" w:rsidRDefault="00514B2F" w:rsidP="00514B2F">
      <w:pPr>
        <w:pStyle w:val="a3"/>
        <w:tabs>
          <w:tab w:val="left" w:pos="567"/>
          <w:tab w:val="left" w:pos="1276"/>
        </w:tabs>
        <w:ind w:left="0" w:firstLine="567"/>
        <w:rPr>
          <w:rFonts w:ascii="Times New Roman" w:hAnsi="Times New Roman"/>
          <w:i/>
          <w:iCs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 xml:space="preserve">4) доход от операций с ценными бумагами, в том числе доход от погашения (продажи) сберегательных сертификатов и погашения (продажи) облигаций, а также доход от операций </w:t>
      </w:r>
      <w:proofErr w:type="spellStart"/>
      <w:r w:rsidRPr="00514B2F">
        <w:rPr>
          <w:rFonts w:ascii="Times New Roman" w:hAnsi="Times New Roman"/>
          <w:i/>
          <w:iCs/>
          <w:sz w:val="28"/>
          <w:szCs w:val="28"/>
        </w:rPr>
        <w:t>репо</w:t>
      </w:r>
      <w:proofErr w:type="spellEnd"/>
      <w:r w:rsidRPr="00514B2F">
        <w:rPr>
          <w:rFonts w:ascii="Times New Roman" w:hAnsi="Times New Roman"/>
          <w:i/>
          <w:iCs/>
          <w:sz w:val="28"/>
          <w:szCs w:val="28"/>
        </w:rPr>
        <w:t>, объектом которых являются ценные бумаги, и доход по операциям с ценными бумагами, учитываемым на индивидуальном инвестиционном счете, которые выражаются в величине суммы финансового результата, определяемого в порядке и сроки, предусмотренные главой 23 Налогового кодекса Российской Федерации</w:t>
      </w:r>
      <w:r w:rsidRPr="00514B2F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.</w:t>
      </w:r>
      <w:r w:rsidRPr="00514B2F">
        <w:rPr>
          <w:rFonts w:ascii="Times New Roman" w:hAnsi="Times New Roman"/>
          <w:i/>
          <w:iCs/>
          <w:sz w:val="28"/>
          <w:szCs w:val="28"/>
        </w:rPr>
        <w:t xml:space="preserve"> Нулевой или отрицательный доход (нулевой или отрицательный финансовый результат) в справке не указывается. Сами ценные бумаги указываются в разделе 5 справки (в случае если по состоянию на отчетную дату служащий (работник), член его семьи обладал такими бумагами).</w:t>
      </w:r>
    </w:p>
    <w:p w14:paraId="4FA1447C" w14:textId="77777777" w:rsidR="00514B2F" w:rsidRPr="002A19F0" w:rsidRDefault="00514B2F" w:rsidP="00514B2F">
      <w:pPr>
        <w:pStyle w:val="a3"/>
        <w:tabs>
          <w:tab w:val="left" w:pos="567"/>
          <w:tab w:val="left" w:pos="1276"/>
        </w:tabs>
        <w:ind w:left="0" w:firstLine="567"/>
        <w:rPr>
          <w:rFonts w:ascii="Times New Roman" w:hAnsi="Times New Roman"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>Доход от ценных бумаг и долей участия в коммерческих организациях указывается единым значением по совокупности соответствующих операций</w:t>
      </w:r>
      <w:r w:rsidRPr="002A19F0">
        <w:rPr>
          <w:rFonts w:ascii="Times New Roman" w:hAnsi="Times New Roman"/>
          <w:sz w:val="28"/>
          <w:szCs w:val="28"/>
        </w:rPr>
        <w:t>.</w:t>
      </w:r>
    </w:p>
    <w:p w14:paraId="429293E0" w14:textId="77777777" w:rsidR="00514B2F" w:rsidRDefault="00514B2F" w:rsidP="00514B2F">
      <w:pPr>
        <w:pStyle w:val="a3"/>
        <w:tabs>
          <w:tab w:val="left" w:pos="567"/>
          <w:tab w:val="left" w:pos="1276"/>
        </w:tabs>
        <w:ind w:left="0" w:firstLine="567"/>
        <w:rPr>
          <w:rFonts w:ascii="Times New Roman" w:hAnsi="Times New Roman"/>
          <w:b/>
          <w:sz w:val="28"/>
          <w:szCs w:val="28"/>
        </w:rPr>
      </w:pPr>
    </w:p>
    <w:p w14:paraId="62A2D9F8" w14:textId="02935EE6" w:rsidR="00514B2F" w:rsidRPr="00FF4A92" w:rsidRDefault="00514B2F" w:rsidP="00FF4A92">
      <w:pPr>
        <w:tabs>
          <w:tab w:val="left" w:pos="567"/>
          <w:tab w:val="left" w:pos="1276"/>
        </w:tabs>
        <w:rPr>
          <w:b/>
          <w:szCs w:val="28"/>
        </w:rPr>
      </w:pPr>
      <w:r w:rsidRPr="00FF4A92">
        <w:rPr>
          <w:b/>
          <w:szCs w:val="28"/>
        </w:rPr>
        <w:t>Иные доходы</w:t>
      </w:r>
    </w:p>
    <w:p w14:paraId="42013072" w14:textId="77777777" w:rsidR="00514B2F" w:rsidRPr="00514B2F" w:rsidRDefault="00514B2F" w:rsidP="00514B2F">
      <w:pPr>
        <w:pStyle w:val="a5"/>
        <w:shd w:val="clear" w:color="auto" w:fill="auto"/>
        <w:tabs>
          <w:tab w:val="left" w:pos="142"/>
          <w:tab w:val="left" w:pos="567"/>
        </w:tabs>
        <w:spacing w:after="0" w:line="240" w:lineRule="auto"/>
        <w:ind w:firstLine="0"/>
        <w:rPr>
          <w:rStyle w:val="a4"/>
          <w:rFonts w:ascii="Times New Roman" w:hAnsi="Times New Roman" w:cs="Times New Roman"/>
          <w:i/>
          <w:iCs/>
          <w:color w:val="000000"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color w:val="000000"/>
          <w:szCs w:val="28"/>
        </w:rPr>
        <w:t xml:space="preserve">В данной строке указываются доходы, которые не были отражены в строках 1-5 справки. </w:t>
      </w:r>
    </w:p>
    <w:p w14:paraId="42AC4F12" w14:textId="77777777" w:rsidR="00514B2F" w:rsidRPr="00514B2F" w:rsidRDefault="00514B2F" w:rsidP="00514B2F">
      <w:pPr>
        <w:pStyle w:val="a5"/>
        <w:shd w:val="clear" w:color="auto" w:fill="auto"/>
        <w:tabs>
          <w:tab w:val="left" w:pos="142"/>
          <w:tab w:val="left" w:pos="567"/>
        </w:tabs>
        <w:spacing w:after="0" w:line="240" w:lineRule="auto"/>
        <w:ind w:firstLine="567"/>
        <w:rPr>
          <w:rStyle w:val="a4"/>
          <w:rFonts w:ascii="Times New Roman" w:hAnsi="Times New Roman" w:cs="Times New Roman"/>
          <w:i/>
          <w:iCs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szCs w:val="28"/>
        </w:rPr>
        <w:t xml:space="preserve">Так, например, в строке иные доходы могут быть указаны: </w:t>
      </w:r>
    </w:p>
    <w:p w14:paraId="67622E38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szCs w:val="28"/>
        </w:rPr>
        <w:t xml:space="preserve">государственная и негосударственная пенсии </w:t>
      </w:r>
      <w:r w:rsidRPr="00514B2F">
        <w:rPr>
          <w:rFonts w:ascii="Times New Roman" w:hAnsi="Times New Roman" w:cs="Times New Roman"/>
          <w:i/>
          <w:iCs/>
          <w:szCs w:val="28"/>
        </w:rPr>
        <w:t>(при этом разные виды пенсий (по возрасту и пенсия военнослужащего) не следует суммировать)</w:t>
      </w:r>
      <w:r w:rsidRPr="00514B2F">
        <w:rPr>
          <w:rStyle w:val="a4"/>
          <w:rFonts w:ascii="Times New Roman" w:hAnsi="Times New Roman" w:cs="Times New Roman"/>
          <w:i/>
          <w:iCs/>
          <w:szCs w:val="28"/>
        </w:rPr>
        <w:t>;</w:t>
      </w:r>
    </w:p>
    <w:p w14:paraId="3C93FB87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i/>
          <w:iCs/>
          <w:szCs w:val="28"/>
        </w:rPr>
      </w:pPr>
      <w:r w:rsidRPr="00514B2F">
        <w:rPr>
          <w:rFonts w:ascii="Times New Roman" w:hAnsi="Times New Roman" w:cs="Times New Roman"/>
          <w:i/>
          <w:iCs/>
          <w:szCs w:val="28"/>
        </w:rPr>
        <w:t xml:space="preserve">доплаты к пенсиям, выплачиваемые в соответствии с законодательством Российской Федерации и законодательством субъектов Российской Федерации. Сведения о сумме произведенных доплат можно получить в территориальном органе Пенсионного фонда Российской </w:t>
      </w:r>
      <w:r w:rsidRPr="00514B2F">
        <w:rPr>
          <w:rFonts w:ascii="Times New Roman" w:hAnsi="Times New Roman" w:cs="Times New Roman"/>
          <w:i/>
          <w:iCs/>
          <w:szCs w:val="28"/>
        </w:rPr>
        <w:lastRenderedPageBreak/>
        <w:t xml:space="preserve">Федерации по месту нахождения пенсионного дела либо в органах социальной защиты субъекта Российской Федерации; </w:t>
      </w:r>
    </w:p>
    <w:p w14:paraId="14253413" w14:textId="77777777" w:rsidR="00514B2F" w:rsidRPr="00514B2F" w:rsidRDefault="00514B2F" w:rsidP="00514B2F">
      <w:pPr>
        <w:pStyle w:val="Default"/>
        <w:numPr>
          <w:ilvl w:val="0"/>
          <w:numId w:val="3"/>
        </w:numPr>
        <w:tabs>
          <w:tab w:val="left" w:pos="142"/>
          <w:tab w:val="left" w:pos="567"/>
          <w:tab w:val="left" w:pos="1134"/>
        </w:tabs>
        <w:ind w:left="0" w:firstLine="567"/>
        <w:rPr>
          <w:i/>
          <w:iCs/>
          <w:color w:val="auto"/>
          <w:sz w:val="28"/>
          <w:szCs w:val="28"/>
        </w:rPr>
      </w:pPr>
      <w:r w:rsidRPr="00514B2F">
        <w:rPr>
          <w:rStyle w:val="a4"/>
          <w:i/>
          <w:iCs/>
          <w:sz w:val="28"/>
          <w:szCs w:val="28"/>
        </w:rPr>
        <w:t xml:space="preserve">все виды пособий (пособие </w:t>
      </w:r>
      <w:r w:rsidRPr="00514B2F">
        <w:rPr>
          <w:i/>
          <w:iCs/>
          <w:sz w:val="28"/>
          <w:szCs w:val="28"/>
        </w:rPr>
        <w:t>по временной нетрудоспособности, по беременности и родам, единовременное пособие женщинам, вставшим на учет в медицинских учреждениях в ранние сроки беременности, единовременное пособие при рождении ребенка, ежемесячное пособие по уходу за ребенком, социальное пособие на погребение, подъемное пособие</w:t>
      </w:r>
      <w:r w:rsidRPr="00514B2F">
        <w:rPr>
          <w:rStyle w:val="a4"/>
          <w:i/>
          <w:iCs/>
          <w:sz w:val="28"/>
          <w:szCs w:val="28"/>
        </w:rPr>
        <w:t xml:space="preserve"> и др.</w:t>
      </w:r>
      <w:r w:rsidRPr="00514B2F">
        <w:rPr>
          <w:i/>
          <w:iCs/>
          <w:color w:val="auto"/>
          <w:sz w:val="28"/>
          <w:szCs w:val="28"/>
        </w:rPr>
        <w:t xml:space="preserve">), если данные выплаты не были включены в Справку </w:t>
      </w:r>
      <w:r w:rsidRPr="00514B2F">
        <w:rPr>
          <w:i/>
          <w:iCs/>
          <w:sz w:val="28"/>
          <w:szCs w:val="28"/>
        </w:rPr>
        <w:t>о доходах и суммах налога физического лица</w:t>
      </w:r>
      <w:r w:rsidRPr="00514B2F">
        <w:rPr>
          <w:i/>
          <w:iCs/>
          <w:color w:val="auto"/>
          <w:sz w:val="28"/>
          <w:szCs w:val="28"/>
        </w:rPr>
        <w:t xml:space="preserve">, выдаваемую по месту службы (работы). </w:t>
      </w:r>
    </w:p>
    <w:p w14:paraId="724B820F" w14:textId="77777777" w:rsidR="00514B2F" w:rsidRPr="00514B2F" w:rsidRDefault="00514B2F" w:rsidP="00514B2F">
      <w:pPr>
        <w:pStyle w:val="Default"/>
        <w:tabs>
          <w:tab w:val="left" w:pos="142"/>
          <w:tab w:val="left" w:pos="567"/>
          <w:tab w:val="left" w:pos="1134"/>
        </w:tabs>
        <w:ind w:firstLine="567"/>
        <w:rPr>
          <w:i/>
          <w:iCs/>
          <w:color w:val="auto"/>
          <w:sz w:val="28"/>
          <w:szCs w:val="28"/>
        </w:rPr>
      </w:pPr>
      <w:r w:rsidRPr="00514B2F">
        <w:rPr>
          <w:i/>
          <w:iCs/>
          <w:color w:val="auto"/>
          <w:sz w:val="28"/>
          <w:szCs w:val="28"/>
        </w:rPr>
        <w:t xml:space="preserve">Пособие по временной нетрудоспособности в случае утраты трудоспособности вследствие заболевания или травмы, по общему правилу, выплачивается застрахованным лицам за первые три дня временной нетрудоспособности за счет средств страхователя, а за остальной период начиная с 4-го дня временной нетрудоспособности за счет средств соответствующего бюджета (статья 3 Федерального закона от 29 декабря 2006 г. № 255-ФЗ </w:t>
      </w:r>
      <w:r w:rsidRPr="00514B2F">
        <w:rPr>
          <w:i/>
          <w:iCs/>
          <w:sz w:val="28"/>
          <w:szCs w:val="28"/>
        </w:rPr>
        <w:t>"</w:t>
      </w:r>
      <w:r w:rsidRPr="00514B2F">
        <w:rPr>
          <w:i/>
          <w:iCs/>
          <w:color w:val="auto"/>
          <w:sz w:val="28"/>
          <w:szCs w:val="28"/>
        </w:rPr>
        <w:t>Об обязательном социальном страховании на случай временной нетрудоспособности и в связи с материнством</w:t>
      </w:r>
      <w:r w:rsidRPr="00514B2F">
        <w:rPr>
          <w:i/>
          <w:iCs/>
          <w:sz w:val="28"/>
          <w:szCs w:val="28"/>
        </w:rPr>
        <w:t>"</w:t>
      </w:r>
      <w:r w:rsidRPr="00514B2F">
        <w:rPr>
          <w:i/>
          <w:iCs/>
          <w:color w:val="auto"/>
          <w:sz w:val="28"/>
          <w:szCs w:val="28"/>
        </w:rPr>
        <w:t>). Денежные средства, полученные в рамках указанного пособия, отражаются без вычета налога на доходы физических лиц (в этой связи информацию рекомендуется получать из Личного кабинета налогоплательщика);</w:t>
      </w:r>
    </w:p>
    <w:p w14:paraId="55C96C63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color w:val="000000"/>
          <w:szCs w:val="28"/>
        </w:rPr>
      </w:pPr>
      <w:r w:rsidRPr="00514B2F">
        <w:rPr>
          <w:rFonts w:ascii="Times New Roman" w:hAnsi="Times New Roman" w:cs="Times New Roman"/>
          <w:i/>
          <w:iCs/>
          <w:szCs w:val="28"/>
        </w:rPr>
        <w:t>государственный сертификат на материнский (семейный) капитал (в случае если в отчетном периоде служащий (работник) или его супруга (супруг) распорядился средствами материнского (семейного) капитала в полном объеме либо частично);</w:t>
      </w:r>
    </w:p>
    <w:p w14:paraId="2B500462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color w:val="000000"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color w:val="000000"/>
          <w:szCs w:val="28"/>
        </w:rPr>
        <w:t>суммы, причитающиеся ребенку в качестве алиментов (за исключением алиментов, выплачиваемых в браке, кроме случая, предусмотренного пунктом 39 Методических рекомендаций – при невозможности по объективным причинам представить Сведения на супругу (супруга) и (или) несовершеннолетних детей), пенсий, пособий (данные средства указываются в справке одного из родителей). В случае, если указанные суммы выплачиваются посредством перечисления денежных средств на счет в банке, открытый на имя несовершеннолетнего ребенка, то такие сведения отражаются в справке несовершеннолетнего ребенка в графе "Иные доходы" раздела 1 справки и в разделе 4 справки;</w:t>
      </w:r>
    </w:p>
    <w:p w14:paraId="37C4E517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color w:val="000000"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color w:val="000000"/>
          <w:szCs w:val="28"/>
        </w:rPr>
        <w:t>стипендия;</w:t>
      </w:r>
    </w:p>
    <w:p w14:paraId="179573C2" w14:textId="77777777" w:rsidR="00514B2F" w:rsidRPr="00514B2F" w:rsidRDefault="00514B2F" w:rsidP="00514B2F">
      <w:pPr>
        <w:pStyle w:val="a3"/>
        <w:numPr>
          <w:ilvl w:val="0"/>
          <w:numId w:val="3"/>
        </w:numPr>
        <w:tabs>
          <w:tab w:val="left" w:pos="142"/>
          <w:tab w:val="left" w:pos="567"/>
          <w:tab w:val="left" w:pos="1134"/>
        </w:tabs>
        <w:ind w:left="0" w:firstLine="567"/>
        <w:rPr>
          <w:rFonts w:ascii="Times New Roman" w:hAnsi="Times New Roman"/>
          <w:i/>
          <w:iCs/>
          <w:sz w:val="28"/>
          <w:szCs w:val="28"/>
        </w:rPr>
      </w:pPr>
      <w:r w:rsidRPr="00514B2F">
        <w:rPr>
          <w:rFonts w:ascii="Times New Roman" w:hAnsi="Times New Roman"/>
          <w:i/>
          <w:iCs/>
          <w:sz w:val="28"/>
          <w:szCs w:val="28"/>
        </w:rPr>
        <w:t>единовременная субсидия на приобретение жилого помещения (в случае если в отчетном периоде денежные средства перечислены на банковский счет служащего; или иного физического (юридического) лица в соответствии с нормативным правовым актом Российской Федерации) и иные аналогичные выплаты, например денежные средства, полученные участником накопительно-ипотечной системы жилищного обеспечения военнослужащих (</w:t>
      </w:r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t xml:space="preserve">данный </w:t>
      </w:r>
      <w:proofErr w:type="spellStart"/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t>займ</w:t>
      </w:r>
      <w:proofErr w:type="spellEnd"/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t xml:space="preserve"> не подлежит возврату и указывается в разделе 1 справки как доход, в случае если, общая продолжительность военной службы, в том числе в льготном исчислении, у военнослужащего составила более двадцати лет, либо при его увольнении по состоянию </w:t>
      </w:r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lastRenderedPageBreak/>
        <w:t xml:space="preserve">здоровья – в связи с признанием военно-врачебной комиссией не годным к военной службе при наличии выслуги десяти лет и более. В иных случаях </w:t>
      </w:r>
      <w:proofErr w:type="spellStart"/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t>займ</w:t>
      </w:r>
      <w:proofErr w:type="spellEnd"/>
      <w:r w:rsidRPr="00514B2F">
        <w:rPr>
          <w:rFonts w:ascii="Times New Roman" w:hAnsi="Times New Roman"/>
          <w:i/>
          <w:iCs/>
          <w:color w:val="000000"/>
          <w:sz w:val="28"/>
          <w:szCs w:val="28"/>
        </w:rPr>
        <w:t xml:space="preserve"> подлежит возврату и указывается в подразделе 6.2 раздела 6 справки, например, при увольнении военнослужащего при отсутствии выслуги двадцати лет (при условии отсутствия соответствующих заболеваний))</w:t>
      </w:r>
      <w:r w:rsidRPr="00514B2F">
        <w:rPr>
          <w:rFonts w:ascii="Times New Roman" w:hAnsi="Times New Roman"/>
          <w:i/>
          <w:iCs/>
          <w:sz w:val="28"/>
          <w:szCs w:val="28"/>
        </w:rPr>
        <w:t xml:space="preserve">, либо полученные в виде разовой социальной выплаты на погашение части стоимости строительства или приобретения жилья (в случае если в отчетном периоде на счет служащего (работника) либо его супруги (супруга) перечислены денежные средства данной выплаты); </w:t>
      </w:r>
    </w:p>
    <w:p w14:paraId="5B868921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szCs w:val="28"/>
        </w:rPr>
        <w:t xml:space="preserve">доходы, полученные от сдачи в аренду или иного использования недвижимого имущества, транспортных средств, в том числе доходы, полученные от имущества, переданного в доверительное управление (траст); </w:t>
      </w:r>
    </w:p>
    <w:p w14:paraId="5347A4E8" w14:textId="77777777" w:rsidR="00514B2F" w:rsidRPr="00514B2F" w:rsidRDefault="00514B2F" w:rsidP="00514B2F">
      <w:pPr>
        <w:pStyle w:val="a5"/>
        <w:numPr>
          <w:ilvl w:val="0"/>
          <w:numId w:val="3"/>
        </w:numPr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left="0" w:firstLine="567"/>
        <w:rPr>
          <w:rStyle w:val="a4"/>
          <w:rFonts w:ascii="Times New Roman" w:hAnsi="Times New Roman" w:cs="Times New Roman"/>
          <w:i/>
          <w:iCs/>
          <w:szCs w:val="28"/>
        </w:rPr>
      </w:pPr>
      <w:r w:rsidRPr="00514B2F">
        <w:rPr>
          <w:rStyle w:val="a4"/>
          <w:rFonts w:ascii="Times New Roman" w:hAnsi="Times New Roman" w:cs="Times New Roman"/>
          <w:i/>
          <w:iCs/>
          <w:color w:val="000000"/>
          <w:szCs w:val="28"/>
        </w:rPr>
        <w:t xml:space="preserve">доходы от реализации недвижимого имущества, транспортных средств и иного имущества, в том числе в случае продажи указанного имущества членам семьи или иным родственникам (кроме продажи супруге (супругу) или несовершеннолетним детям (за исключением случая, предусмотренного пунктом 39 Методических рекомендаций – при невозможности по объективным причинам представить Сведения на супругу (супруга) и (или) несовершеннолетних детей)). </w:t>
      </w:r>
    </w:p>
    <w:p w14:paraId="57650397" w14:textId="594789FA" w:rsidR="00514B2F" w:rsidRDefault="00514B2F" w:rsidP="00514B2F">
      <w:pPr>
        <w:rPr>
          <w:i/>
          <w:iCs/>
        </w:rPr>
      </w:pPr>
    </w:p>
    <w:p w14:paraId="1867DF32" w14:textId="77777777" w:rsidR="00514B2F" w:rsidRPr="002A19F0" w:rsidRDefault="00514B2F" w:rsidP="00514B2F">
      <w:pPr>
        <w:pStyle w:val="a5"/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firstLine="567"/>
        <w:rPr>
          <w:rStyle w:val="a4"/>
          <w:rFonts w:ascii="Times New Roman" w:hAnsi="Times New Roman" w:cs="Times New Roman"/>
          <w:szCs w:val="28"/>
        </w:rPr>
      </w:pPr>
      <w:r>
        <w:tab/>
      </w:r>
      <w:r w:rsidRPr="002A19F0">
        <w:rPr>
          <w:rStyle w:val="a4"/>
          <w:rFonts w:ascii="Times New Roman" w:hAnsi="Times New Roman" w:cs="Times New Roman"/>
          <w:szCs w:val="28"/>
        </w:rPr>
        <w:t>Отражению подлежат также денежные средства, полученные от продажи, например, ранее купленного транспортного средства в течение отчетного периода.</w:t>
      </w:r>
    </w:p>
    <w:p w14:paraId="63EA3802" w14:textId="77777777" w:rsidR="00514B2F" w:rsidRPr="002A19F0" w:rsidRDefault="00514B2F" w:rsidP="00514B2F">
      <w:pPr>
        <w:pStyle w:val="a5"/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Cs w:val="28"/>
        </w:rPr>
      </w:pPr>
      <w:r w:rsidRPr="002A19F0">
        <w:rPr>
          <w:rStyle w:val="a4"/>
          <w:rFonts w:ascii="Times New Roman" w:hAnsi="Times New Roman" w:cs="Times New Roman"/>
          <w:color w:val="000000"/>
          <w:szCs w:val="28"/>
        </w:rPr>
        <w:t xml:space="preserve">При этом </w:t>
      </w:r>
      <w:r w:rsidRPr="002A19F0">
        <w:rPr>
          <w:rStyle w:val="a4"/>
          <w:rFonts w:ascii="Times New Roman" w:hAnsi="Times New Roman" w:cs="Times New Roman"/>
          <w:szCs w:val="28"/>
        </w:rPr>
        <w:t xml:space="preserve">рекомендуется </w:t>
      </w:r>
      <w:r w:rsidRPr="002A19F0">
        <w:rPr>
          <w:rStyle w:val="a4"/>
          <w:rFonts w:ascii="Times New Roman" w:hAnsi="Times New Roman" w:cs="Times New Roman"/>
          <w:color w:val="000000"/>
          <w:szCs w:val="28"/>
        </w:rPr>
        <w:t xml:space="preserve">указать вид и адрес проданного недвижимого имущества, вид и марку проданного транспортного средства (в том числе в случае </w:t>
      </w:r>
      <w:r w:rsidRPr="002A19F0">
        <w:rPr>
          <w:rFonts w:ascii="Times New Roman" w:hAnsi="Times New Roman" w:cs="Times New Roman"/>
          <w:szCs w:val="28"/>
        </w:rPr>
        <w:t>зачета стоимости старого транспортного средства в стоимость при покупке нового по договорам "трейд-ин"). Например, служащий (работник), член его семьи приобрел в отчетном году в автосалоне новый автомобиль за 900 000 руб., при этом в ходе покупки автосалон оценил имевшийся у служащего (работника), члена его семьи старый автомобиль в 300 000 руб. и учел данные средства в качестве взноса при покупке нового автомобиля. Оставшуюся сумму служащий (работник), член его семьи выплатил автосалону. Сумма в размере 300 000 руб. является доходом и подлежит указанию в строке "Иные доходы").</w:t>
      </w:r>
    </w:p>
    <w:p w14:paraId="2B73A36F" w14:textId="77777777" w:rsidR="00514B2F" w:rsidRPr="002A19F0" w:rsidRDefault="00514B2F" w:rsidP="00514B2F">
      <w:pPr>
        <w:pStyle w:val="a5"/>
        <w:shd w:val="clear" w:color="auto" w:fill="auto"/>
        <w:tabs>
          <w:tab w:val="left" w:pos="142"/>
          <w:tab w:val="left" w:pos="567"/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Cs w:val="28"/>
        </w:rPr>
      </w:pPr>
      <w:r w:rsidRPr="002A19F0">
        <w:rPr>
          <w:rFonts w:ascii="Times New Roman" w:hAnsi="Times New Roman" w:cs="Times New Roman"/>
          <w:szCs w:val="28"/>
        </w:rPr>
        <w:t>В случае продажи мелкого имущества (предметы обычной домашней обстановки, обихода и т.д.) рекомендуется указывать совокупный доход от их реализации.</w:t>
      </w:r>
    </w:p>
    <w:p w14:paraId="01B94B26" w14:textId="3C8493CC" w:rsidR="00514B2F" w:rsidRDefault="00514B2F" w:rsidP="00514B2F"/>
    <w:p w14:paraId="7C77C875" w14:textId="77777777" w:rsidR="00514B2F" w:rsidRPr="00514B2F" w:rsidRDefault="00514B2F" w:rsidP="00514B2F">
      <w:pPr>
        <w:tabs>
          <w:tab w:val="left" w:pos="567"/>
        </w:tabs>
        <w:rPr>
          <w:rFonts w:eastAsia="Times New Roman"/>
          <w:szCs w:val="28"/>
        </w:rPr>
      </w:pPr>
      <w:r w:rsidRPr="00514B2F">
        <w:rPr>
          <w:rFonts w:eastAsia="Times New Roman"/>
          <w:szCs w:val="28"/>
          <w:lang w:eastAsia="ru-RU"/>
        </w:rPr>
        <w:t>Также в строке "Иные доходы" подлежат отражению меры поддержки, предусмотренные нормативными правовыми актами Президента Российской Федерации и Правительства Российской Федерации, например, следующие:</w:t>
      </w:r>
    </w:p>
    <w:p w14:paraId="1A523CB3" w14:textId="77777777" w:rsidR="00514B2F" w:rsidRPr="002A19F0" w:rsidRDefault="00514B2F" w:rsidP="00514B2F">
      <w:pPr>
        <w:pStyle w:val="a3"/>
        <w:numPr>
          <w:ilvl w:val="1"/>
          <w:numId w:val="1"/>
        </w:numPr>
        <w:tabs>
          <w:tab w:val="left" w:pos="567"/>
        </w:tabs>
        <w:ind w:left="0" w:firstLine="567"/>
        <w:rPr>
          <w:rFonts w:ascii="Times New Roman" w:eastAsia="Times New Roman" w:hAnsi="Times New Roman"/>
          <w:sz w:val="28"/>
          <w:szCs w:val="28"/>
        </w:rPr>
      </w:pPr>
      <w:r w:rsidRPr="002A19F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ежемесячная денежная выплата на ребенка в возрасте от трех до семи лет включительно в соответствии с Указом Президента Российской Федерации от 20 марта 2020 г. № 199; </w:t>
      </w:r>
    </w:p>
    <w:p w14:paraId="5FEF4CCF" w14:textId="77777777" w:rsidR="00514B2F" w:rsidRPr="002A19F0" w:rsidRDefault="00514B2F" w:rsidP="00514B2F">
      <w:pPr>
        <w:pStyle w:val="a3"/>
        <w:numPr>
          <w:ilvl w:val="1"/>
          <w:numId w:val="1"/>
        </w:numPr>
        <w:tabs>
          <w:tab w:val="left" w:pos="567"/>
        </w:tabs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19F0">
        <w:rPr>
          <w:rFonts w:ascii="Times New Roman" w:eastAsia="Times New Roman" w:hAnsi="Times New Roman"/>
          <w:sz w:val="28"/>
          <w:szCs w:val="28"/>
          <w:lang w:eastAsia="ru-RU"/>
        </w:rPr>
        <w:t>ежемесячная денежная выплата на ребенка в возрасте от 8 до 17 лет в соответствии Указом Президента Российской Федерации от 31 марта 2022 г. № 175;</w:t>
      </w:r>
    </w:p>
    <w:p w14:paraId="7A627A5C" w14:textId="77777777" w:rsidR="00514B2F" w:rsidRPr="002A19F0" w:rsidRDefault="00514B2F" w:rsidP="00514B2F">
      <w:pPr>
        <w:pStyle w:val="a3"/>
        <w:numPr>
          <w:ilvl w:val="1"/>
          <w:numId w:val="1"/>
        </w:numPr>
        <w:tabs>
          <w:tab w:val="left" w:pos="567"/>
        </w:tabs>
        <w:ind w:left="0" w:firstLine="567"/>
        <w:rPr>
          <w:rFonts w:ascii="Times New Roman" w:eastAsia="Times New Roman" w:hAnsi="Times New Roman"/>
          <w:sz w:val="28"/>
          <w:szCs w:val="28"/>
        </w:rPr>
      </w:pPr>
      <w:r w:rsidRPr="002A19F0">
        <w:rPr>
          <w:rFonts w:ascii="Times New Roman" w:eastAsia="Times New Roman" w:hAnsi="Times New Roman"/>
          <w:sz w:val="28"/>
          <w:szCs w:val="28"/>
          <w:lang w:eastAsia="ru-RU"/>
        </w:rPr>
        <w:t>ежемесячное пособие женщине, вставшей на учет в медицинской организации в ранние сроки беременности) в соответствии с постановлением Правительства Российской Федерации от 6 июня 2022 г. № 1036.</w:t>
      </w:r>
    </w:p>
    <w:p w14:paraId="5A324A00" w14:textId="77777777" w:rsidR="00A10E11" w:rsidRPr="002A19F0" w:rsidRDefault="00A10E11" w:rsidP="00A10E11">
      <w:pPr>
        <w:pStyle w:val="a3"/>
        <w:numPr>
          <w:ilvl w:val="0"/>
          <w:numId w:val="1"/>
        </w:numPr>
        <w:tabs>
          <w:tab w:val="left" w:pos="567"/>
        </w:tabs>
        <w:ind w:left="0" w:firstLine="567"/>
        <w:rPr>
          <w:rFonts w:ascii="Times New Roman" w:hAnsi="Times New Roman"/>
          <w:sz w:val="28"/>
          <w:szCs w:val="28"/>
        </w:rPr>
      </w:pPr>
      <w:r w:rsidRPr="002A19F0">
        <w:rPr>
          <w:rFonts w:ascii="Times New Roman" w:hAnsi="Times New Roman"/>
          <w:sz w:val="28"/>
          <w:szCs w:val="28"/>
        </w:rPr>
        <w:t>не указываются сведения о денежных средствах, полученных:</w:t>
      </w:r>
    </w:p>
    <w:p w14:paraId="564DB5D8" w14:textId="77777777" w:rsidR="00A10E11" w:rsidRPr="002A19F0" w:rsidRDefault="00A10E11" w:rsidP="00A10E11">
      <w:pPr>
        <w:tabs>
          <w:tab w:val="left" w:pos="567"/>
        </w:tabs>
        <w:ind w:firstLine="567"/>
        <w:rPr>
          <w:szCs w:val="28"/>
        </w:rPr>
      </w:pPr>
      <w:r w:rsidRPr="002A19F0">
        <w:rPr>
          <w:szCs w:val="28"/>
        </w:rPr>
        <w:t>1) в виде социального, имущественного, инвестиционного налогового вычета;</w:t>
      </w:r>
    </w:p>
    <w:p w14:paraId="7E46031F" w14:textId="77777777" w:rsidR="00A10E11" w:rsidRPr="002A19F0" w:rsidRDefault="00A10E11" w:rsidP="00A10E11">
      <w:pPr>
        <w:tabs>
          <w:tab w:val="left" w:pos="567"/>
        </w:tabs>
        <w:ind w:firstLine="567"/>
        <w:rPr>
          <w:szCs w:val="28"/>
        </w:rPr>
      </w:pPr>
      <w:r w:rsidRPr="002A19F0">
        <w:rPr>
          <w:szCs w:val="28"/>
        </w:rPr>
        <w:t>2) от продажи различного вида подарочных сертификатов (карт), выпущенных предприятиями торговли;</w:t>
      </w:r>
    </w:p>
    <w:p w14:paraId="5EF2AC6E" w14:textId="77777777" w:rsidR="00A10E11" w:rsidRPr="002A19F0" w:rsidRDefault="00A10E11" w:rsidP="00A10E11">
      <w:pPr>
        <w:tabs>
          <w:tab w:val="left" w:pos="567"/>
        </w:tabs>
        <w:ind w:firstLine="567"/>
        <w:rPr>
          <w:szCs w:val="28"/>
        </w:rPr>
      </w:pPr>
      <w:r w:rsidRPr="002A19F0">
        <w:rPr>
          <w:szCs w:val="28"/>
        </w:rPr>
        <w:t>3) </w:t>
      </w:r>
      <w:r w:rsidRPr="002A19F0">
        <w:rPr>
          <w:color w:val="000000"/>
          <w:szCs w:val="28"/>
        </w:rPr>
        <w:t>в качестве бонусных баллов</w:t>
      </w:r>
      <w:r w:rsidRPr="002A19F0">
        <w:rPr>
          <w:szCs w:val="28"/>
        </w:rPr>
        <w:t xml:space="preserve">, бонусов на накопительных дисконтных картах, начисленных банками и иными организациями за пользование их услугами, в том числе в виде денежных средств </w:t>
      </w:r>
      <w:r w:rsidRPr="002A19F0">
        <w:rPr>
          <w:color w:val="000000"/>
          <w:szCs w:val="28"/>
        </w:rPr>
        <w:t>(</w:t>
      </w:r>
      <w:r w:rsidRPr="002A19F0">
        <w:rPr>
          <w:szCs w:val="28"/>
        </w:rPr>
        <w:t>"</w:t>
      </w:r>
      <w:proofErr w:type="spellStart"/>
      <w:r w:rsidRPr="002A19F0">
        <w:rPr>
          <w:szCs w:val="28"/>
        </w:rPr>
        <w:t>кешбэк</w:t>
      </w:r>
      <w:proofErr w:type="spellEnd"/>
      <w:r w:rsidRPr="002A19F0">
        <w:rPr>
          <w:szCs w:val="28"/>
        </w:rPr>
        <w:t xml:space="preserve"> сервис"), включая т.н. "туристический </w:t>
      </w:r>
      <w:proofErr w:type="spellStart"/>
      <w:r w:rsidRPr="002A19F0">
        <w:rPr>
          <w:szCs w:val="28"/>
        </w:rPr>
        <w:t>кешбэк</w:t>
      </w:r>
      <w:proofErr w:type="spellEnd"/>
      <w:r w:rsidRPr="002A19F0">
        <w:rPr>
          <w:szCs w:val="28"/>
        </w:rPr>
        <w:t xml:space="preserve">", "детский </w:t>
      </w:r>
      <w:proofErr w:type="spellStart"/>
      <w:r w:rsidRPr="002A19F0">
        <w:rPr>
          <w:szCs w:val="28"/>
        </w:rPr>
        <w:t>кешбэк</w:t>
      </w:r>
      <w:proofErr w:type="spellEnd"/>
      <w:r w:rsidRPr="002A19F0">
        <w:rPr>
          <w:szCs w:val="28"/>
        </w:rPr>
        <w:t xml:space="preserve">" и др.; </w:t>
      </w:r>
    </w:p>
    <w:p w14:paraId="1ECDCEA8" w14:textId="77777777" w:rsidR="00A10E11" w:rsidRPr="002A19F0" w:rsidRDefault="00A10E11" w:rsidP="00A10E11">
      <w:pPr>
        <w:tabs>
          <w:tab w:val="left" w:pos="567"/>
        </w:tabs>
        <w:ind w:firstLine="567"/>
        <w:rPr>
          <w:szCs w:val="28"/>
        </w:rPr>
      </w:pPr>
      <w:r w:rsidRPr="002A19F0">
        <w:rPr>
          <w:szCs w:val="28"/>
        </w:rPr>
        <w:t>4) в виде материальной выгоды, предусмотренной статьей 212 Налогового кодекса Российской Федерации. Например, материальная выгода, полученная от экономии на процентах за пользование заемными (кредитными) средствами, полученными от организаций или индивидуальных предпринимателей;</w:t>
      </w:r>
    </w:p>
    <w:p w14:paraId="587DBC93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 xml:space="preserve">5) в качестве возврата налога на добавленную стоимость, уплаченного при совершении покупок за границей, по чекам </w:t>
      </w:r>
      <w:r w:rsidRPr="002A19F0">
        <w:rPr>
          <w:szCs w:val="28"/>
          <w:lang w:val="en-US"/>
        </w:rPr>
        <w:t>Tax</w:t>
      </w:r>
      <w:r w:rsidRPr="002A19F0">
        <w:rPr>
          <w:szCs w:val="28"/>
        </w:rPr>
        <w:t>-</w:t>
      </w:r>
      <w:r w:rsidRPr="002A19F0">
        <w:rPr>
          <w:szCs w:val="28"/>
          <w:lang w:val="en-US"/>
        </w:rPr>
        <w:t>free</w:t>
      </w:r>
      <w:r w:rsidRPr="002A19F0">
        <w:rPr>
          <w:szCs w:val="28"/>
        </w:rPr>
        <w:t>;</w:t>
      </w:r>
    </w:p>
    <w:p w14:paraId="6AB8406C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>6) в качестве вознаграждения донорам за сданную кровь, ее компонентов (и иную помощь);</w:t>
      </w:r>
    </w:p>
    <w:p w14:paraId="398C5417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>7) в виде кредитов, займов. В случае если сумма кредита, займа равна или превышает 500 000 рублей, то данное срочное обязательство финансового характера подлежит указанию в подразделе 6.2 раздела 6 справки;</w:t>
      </w:r>
    </w:p>
    <w:p w14:paraId="5782BC90" w14:textId="77777777" w:rsidR="00A10E11" w:rsidRPr="002A19F0" w:rsidRDefault="00A10E11" w:rsidP="00A10E11">
      <w:pPr>
        <w:tabs>
          <w:tab w:val="left" w:pos="567"/>
        </w:tabs>
        <w:ind w:firstLine="567"/>
        <w:rPr>
          <w:szCs w:val="28"/>
        </w:rPr>
      </w:pPr>
      <w:r w:rsidRPr="002A19F0">
        <w:rPr>
          <w:szCs w:val="28"/>
        </w:rPr>
        <w:t>8) в качестве возмещения расходов на повышение профессионального уровня за счет средств представителя нанимателя (работодателя);</w:t>
      </w:r>
    </w:p>
    <w:p w14:paraId="4D88C1B8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 xml:space="preserve">9) в связи с переводом денежных средств между своими банковскими счетами, а также с зачислением на свой банковский счет средств, ранее снятых с другого счета; </w:t>
      </w:r>
    </w:p>
    <w:p w14:paraId="127C8EC8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 xml:space="preserve">10) в качестве перевода (между супругами и (или) несовершеннолетними детьми (аналогично в части, касающейся наличных денежных средств), </w:t>
      </w:r>
      <w:r w:rsidRPr="002A19F0">
        <w:rPr>
          <w:rStyle w:val="a4"/>
          <w:rFonts w:cs="Times New Roman"/>
          <w:color w:val="000000"/>
          <w:szCs w:val="28"/>
        </w:rPr>
        <w:t xml:space="preserve">кроме случая, предусмотренного пунктом 39 Методических рекомендаций – при </w:t>
      </w:r>
      <w:r w:rsidRPr="002A19F0">
        <w:rPr>
          <w:rStyle w:val="a4"/>
          <w:rFonts w:cs="Times New Roman"/>
          <w:color w:val="000000"/>
          <w:szCs w:val="28"/>
        </w:rPr>
        <w:lastRenderedPageBreak/>
        <w:t>невозможности по объективным причинам представить Сведения на супругу (супруга) и (или) несовершеннолетних детей)</w:t>
      </w:r>
      <w:r w:rsidRPr="002A19F0">
        <w:rPr>
          <w:szCs w:val="28"/>
        </w:rPr>
        <w:t>;</w:t>
      </w:r>
    </w:p>
    <w:p w14:paraId="4F7E4774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>11) в связи с возвратом денежных средств по несостоявшемуся договору купли-продажи;</w:t>
      </w:r>
    </w:p>
    <w:p w14:paraId="3A87FAD8" w14:textId="77777777" w:rsidR="00A10E11" w:rsidRPr="002A19F0" w:rsidRDefault="00A10E11" w:rsidP="00A10E11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>12) в качестве возврата займа, денежных средств за купленные товары, а также в качестве возврата денежных средств за оплаченные за третьих лиц товары, работы и услуги, если факт такой оплаты может быть подтвержден;</w:t>
      </w:r>
    </w:p>
    <w:p w14:paraId="322185F4" w14:textId="6AAC41D1" w:rsidR="00A10E11" w:rsidRPr="00FF4A92" w:rsidRDefault="00A10E11" w:rsidP="00FF4A92">
      <w:pPr>
        <w:tabs>
          <w:tab w:val="left" w:pos="567"/>
          <w:tab w:val="left" w:pos="709"/>
        </w:tabs>
        <w:ind w:firstLine="567"/>
        <w:rPr>
          <w:szCs w:val="28"/>
        </w:rPr>
      </w:pPr>
      <w:r w:rsidRPr="002A19F0">
        <w:rPr>
          <w:szCs w:val="28"/>
        </w:rPr>
        <w:t>13) в качестве возврата денежных средств в связи с прекращением договора (например, возврат части уплаченной страховой премии в связи с досрочным прекращением договора страхования);</w:t>
      </w:r>
    </w:p>
    <w:p w14:paraId="26A7C27F" w14:textId="0CDD57A2" w:rsidR="00A10E11" w:rsidRDefault="00A10E11" w:rsidP="00514B2F">
      <w:pPr>
        <w:ind w:firstLine="708"/>
      </w:pPr>
    </w:p>
    <w:p w14:paraId="22779EFF" w14:textId="6C968AE0" w:rsidR="00A10E11" w:rsidRDefault="00A10E11" w:rsidP="00A10E11">
      <w:pPr>
        <w:ind w:left="708"/>
        <w:jc w:val="center"/>
        <w:rPr>
          <w:rFonts w:eastAsia="Times New Roman"/>
          <w:b/>
          <w:szCs w:val="28"/>
          <w:lang w:eastAsia="ru-RU"/>
        </w:rPr>
      </w:pPr>
      <w:r w:rsidRPr="00A10E11">
        <w:rPr>
          <w:rFonts w:eastAsia="Times New Roman"/>
          <w:b/>
          <w:szCs w:val="28"/>
          <w:highlight w:val="yellow"/>
          <w:lang w:eastAsia="ru-RU"/>
        </w:rPr>
        <w:t>СВЕДЕНИЯ ОБ ИМУЩЕСТВЕ</w:t>
      </w:r>
    </w:p>
    <w:p w14:paraId="665A9AB3" w14:textId="3CEDB173" w:rsidR="00A10E11" w:rsidRDefault="00A10E11" w:rsidP="00A10E11">
      <w:pPr>
        <w:rPr>
          <w:rFonts w:eastAsia="Times New Roman"/>
          <w:b/>
          <w:szCs w:val="28"/>
          <w:lang w:eastAsia="ru-RU"/>
        </w:rPr>
      </w:pPr>
    </w:p>
    <w:p w14:paraId="05BD5C40" w14:textId="5D8C1261" w:rsidR="00A10E11" w:rsidRDefault="00A10E11" w:rsidP="00A10E11">
      <w:pPr>
        <w:rPr>
          <w:rFonts w:eastAsia="Times New Roman"/>
          <w:b/>
          <w:szCs w:val="28"/>
          <w:lang w:eastAsia="ru-RU"/>
        </w:rPr>
      </w:pPr>
      <w:r w:rsidRPr="006848CC">
        <w:rPr>
          <w:rFonts w:eastAsia="Times New Roman"/>
          <w:b/>
          <w:szCs w:val="28"/>
          <w:lang w:eastAsia="ru-RU"/>
        </w:rPr>
        <w:t>Недвижимое имущество</w:t>
      </w:r>
    </w:p>
    <w:p w14:paraId="51406FAF" w14:textId="77777777" w:rsidR="00A10E11" w:rsidRPr="00A10E11" w:rsidRDefault="00A10E11" w:rsidP="00A10E11">
      <w:pPr>
        <w:tabs>
          <w:tab w:val="left" w:pos="567"/>
        </w:tabs>
        <w:ind w:firstLine="567"/>
        <w:rPr>
          <w:szCs w:val="28"/>
        </w:rPr>
      </w:pPr>
      <w:r w:rsidRPr="00A10E11">
        <w:rPr>
          <w:szCs w:val="28"/>
        </w:rPr>
        <w:t xml:space="preserve">Понятие недвижимого имущества установлено статьей 130 Гражданского кодекса Российской Федерации. Согласно указанной статье </w:t>
      </w:r>
      <w:proofErr w:type="gramStart"/>
      <w:r w:rsidRPr="00A10E11">
        <w:rPr>
          <w:szCs w:val="28"/>
        </w:rPr>
        <w:t>к недвижимым вещам (недвижимое имущество, недвижимость)</w:t>
      </w:r>
      <w:proofErr w:type="gramEnd"/>
      <w:r w:rsidRPr="00A10E11">
        <w:rPr>
          <w:szCs w:val="28"/>
        </w:rPr>
        <w:t xml:space="preserve">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 Законом к недвижимым вещам может быть отнесено и иное имущество (например – буровые скважины, распределительный газопровод среднего или низкого давления, линии электропередачи, линии связи и др.).</w:t>
      </w:r>
    </w:p>
    <w:p w14:paraId="30096D62" w14:textId="59EA7932" w:rsidR="00A10E11" w:rsidRPr="00A10E11" w:rsidRDefault="00A10E11" w:rsidP="00A10E11">
      <w:pPr>
        <w:tabs>
          <w:tab w:val="left" w:pos="567"/>
        </w:tabs>
        <w:rPr>
          <w:szCs w:val="28"/>
        </w:rPr>
      </w:pPr>
      <w:r>
        <w:rPr>
          <w:szCs w:val="28"/>
        </w:rPr>
        <w:tab/>
      </w:r>
      <w:r w:rsidRPr="00A10E11">
        <w:rPr>
          <w:szCs w:val="28"/>
        </w:rPr>
        <w:t xml:space="preserve">При заполнении данного подраздела указываются все объекты недвижимости, принадлежащие служащему (работнику), его супруге (супругу) и (или) несовершеннолетним детям на праве собственности, независимо от того, когда они были приобретены, в каком регионе Российской Федерации или в каком государстве зарегистрированы. </w:t>
      </w:r>
    </w:p>
    <w:p w14:paraId="61A9FC49" w14:textId="7458F53A" w:rsidR="00A10E11" w:rsidRDefault="00A10E11" w:rsidP="00A10E11"/>
    <w:p w14:paraId="7B59E036" w14:textId="77777777" w:rsidR="00A10E11" w:rsidRPr="00A10E11" w:rsidRDefault="00A10E11" w:rsidP="00FF4A92">
      <w:pPr>
        <w:tabs>
          <w:tab w:val="left" w:pos="567"/>
        </w:tabs>
        <w:ind w:firstLine="567"/>
        <w:outlineLvl w:val="1"/>
        <w:rPr>
          <w:szCs w:val="28"/>
        </w:rPr>
      </w:pPr>
      <w:r w:rsidRPr="00A10E11">
        <w:rPr>
          <w:szCs w:val="28"/>
        </w:rPr>
        <w:t>Указанию также подлежит недвижимое имущество, полученное в порядке наследования (принято наследство) или по решению суда (вступило в законную силу), право собственности на которое не зарегистрировано в установленном порядке (не осуществлена регистрация в Росреестре).</w:t>
      </w:r>
    </w:p>
    <w:p w14:paraId="13C4AE28" w14:textId="697FD86C" w:rsidR="00A10E11" w:rsidRDefault="00A10E11" w:rsidP="00A10E11"/>
    <w:p w14:paraId="63E02A4C" w14:textId="77777777" w:rsidR="00FF4A92" w:rsidRDefault="00FF4A92" w:rsidP="00A10E11">
      <w:pPr>
        <w:rPr>
          <w:b/>
          <w:szCs w:val="28"/>
        </w:rPr>
      </w:pPr>
    </w:p>
    <w:p w14:paraId="689E9706" w14:textId="6312D0C6" w:rsidR="00A10E11" w:rsidRDefault="00A10E11" w:rsidP="00A10E11">
      <w:pPr>
        <w:rPr>
          <w:b/>
          <w:szCs w:val="28"/>
        </w:rPr>
      </w:pPr>
      <w:r w:rsidRPr="002A19F0">
        <w:rPr>
          <w:b/>
          <w:szCs w:val="28"/>
        </w:rPr>
        <w:lastRenderedPageBreak/>
        <w:t>Транспортные средства</w:t>
      </w:r>
    </w:p>
    <w:p w14:paraId="3DCC005B" w14:textId="77777777" w:rsidR="00A10E11" w:rsidRPr="00A10E11" w:rsidRDefault="00A10E11" w:rsidP="00FF4A92">
      <w:pPr>
        <w:tabs>
          <w:tab w:val="left" w:pos="567"/>
        </w:tabs>
        <w:ind w:firstLine="709"/>
        <w:rPr>
          <w:szCs w:val="28"/>
        </w:rPr>
      </w:pPr>
      <w:r w:rsidRPr="00A10E11">
        <w:rPr>
          <w:color w:val="000000"/>
          <w:szCs w:val="28"/>
        </w:rPr>
        <w:t xml:space="preserve">В данном подразделе указываются сведения о транспортных средствах, находящихся в собственности, независимо от того, когда они были приобретены, в каком регионе Российской Федерации или в каком государстве зарегистрированы. Транспортные средства, </w:t>
      </w:r>
      <w:r w:rsidRPr="00A10E11">
        <w:rPr>
          <w:szCs w:val="28"/>
        </w:rPr>
        <w:t>переданные в пользование по доверенности,</w:t>
      </w:r>
      <w:r w:rsidRPr="00A10E11">
        <w:rPr>
          <w:color w:val="000000"/>
          <w:szCs w:val="28"/>
        </w:rPr>
        <w:t xml:space="preserve"> находящиеся в угоне, в залоге у банка, полностью негодные к </w:t>
      </w:r>
      <w:r w:rsidRPr="00A10E11">
        <w:rPr>
          <w:szCs w:val="28"/>
        </w:rPr>
        <w:t xml:space="preserve">эксплуатации, снятые с регистрационного учета и т.д., собственником которых является служащий (работник), его супруга (супруг), несовершеннолетний ребенок, также подлежат указанию в справке. </w:t>
      </w:r>
    </w:p>
    <w:p w14:paraId="6E175B8D" w14:textId="77777777" w:rsidR="00A10E11" w:rsidRPr="002A19F0" w:rsidRDefault="00A10E11" w:rsidP="00A10E11">
      <w:pPr>
        <w:pStyle w:val="a3"/>
        <w:tabs>
          <w:tab w:val="left" w:pos="567"/>
        </w:tabs>
        <w:ind w:left="0" w:firstLine="567"/>
        <w:rPr>
          <w:rFonts w:ascii="Times New Roman" w:hAnsi="Times New Roman"/>
          <w:sz w:val="28"/>
          <w:szCs w:val="28"/>
        </w:rPr>
      </w:pPr>
      <w:r w:rsidRPr="002A19F0">
        <w:rPr>
          <w:rFonts w:ascii="Times New Roman" w:hAnsi="Times New Roman"/>
          <w:sz w:val="28"/>
          <w:szCs w:val="28"/>
        </w:rPr>
        <w:t xml:space="preserve">Также в данном подразделе подлежат отражению транспортные средства, принадлежащие на праве собственности </w:t>
      </w:r>
      <w:r w:rsidRPr="002A19F0">
        <w:rPr>
          <w:rFonts w:ascii="Times New Roman" w:hAnsi="Times New Roman"/>
          <w:sz w:val="28"/>
          <w:szCs w:val="28"/>
          <w:shd w:val="clear" w:color="auto" w:fill="FFFFFF"/>
        </w:rPr>
        <w:t>гражданину, зарегистрированному в качестве индивидуального предпринимателя</w:t>
      </w:r>
      <w:r w:rsidRPr="002A19F0">
        <w:rPr>
          <w:rFonts w:ascii="Times New Roman" w:hAnsi="Times New Roman"/>
          <w:sz w:val="28"/>
          <w:szCs w:val="28"/>
        </w:rPr>
        <w:t>.</w:t>
      </w:r>
    </w:p>
    <w:p w14:paraId="11202F28" w14:textId="77777777" w:rsidR="00A10E11" w:rsidRPr="002A19F0" w:rsidRDefault="00A10E11" w:rsidP="00A10E11">
      <w:pPr>
        <w:pStyle w:val="a3"/>
        <w:numPr>
          <w:ilvl w:val="0"/>
          <w:numId w:val="1"/>
        </w:numPr>
        <w:tabs>
          <w:tab w:val="left" w:pos="567"/>
        </w:tabs>
        <w:ind w:left="0" w:firstLine="567"/>
        <w:rPr>
          <w:rFonts w:ascii="Times New Roman" w:hAnsi="Times New Roman"/>
          <w:sz w:val="28"/>
          <w:szCs w:val="28"/>
        </w:rPr>
      </w:pPr>
      <w:r w:rsidRPr="002A19F0">
        <w:rPr>
          <w:rFonts w:ascii="Times New Roman" w:hAnsi="Times New Roman"/>
          <w:sz w:val="28"/>
          <w:szCs w:val="28"/>
        </w:rPr>
        <w:t>Изменение регистрационных данных о собственнике по совершенным сделкам, направленным на отчуждение в отношении зарегистрированных транспортных средств, осуществляется на основании заявления нового собственника (пункт 6 Правил государственной регистрации транспортных средств в регистрационных подразделениях Государственной инспекции безопасности дорожного движения Министерства внутренних дел Российской Федерации, утвержденных постановлением Правительства Российской Федерации от 21 декабря 2019 г. № 1764).</w:t>
      </w:r>
    </w:p>
    <w:p w14:paraId="1ABDB99F" w14:textId="77777777" w:rsidR="00A10E11" w:rsidRPr="002A19F0" w:rsidRDefault="00A10E11" w:rsidP="00A10E11">
      <w:pPr>
        <w:pStyle w:val="a3"/>
        <w:numPr>
          <w:ilvl w:val="0"/>
          <w:numId w:val="1"/>
        </w:numPr>
        <w:tabs>
          <w:tab w:val="left" w:pos="567"/>
        </w:tabs>
        <w:ind w:left="0" w:firstLine="567"/>
        <w:rPr>
          <w:rFonts w:ascii="Times New Roman" w:hAnsi="Times New Roman"/>
          <w:sz w:val="28"/>
          <w:szCs w:val="28"/>
        </w:rPr>
      </w:pPr>
      <w:r w:rsidRPr="002A19F0">
        <w:rPr>
          <w:rFonts w:ascii="Times New Roman" w:hAnsi="Times New Roman"/>
          <w:sz w:val="28"/>
          <w:szCs w:val="28"/>
        </w:rPr>
        <w:t>Если транспортное средство по состоянию на отчетную дату находилось в собственности служащего (работника), его супруги (супруга), несовершеннолетнего ребенка, то его следует отразить в данном подразделе справки. Если на отчетную дату транспортное средство уже было отчуждено, то в подразделе 3.2 справки его отражать не следует. При этом в разделе 1 справки следует указать доход от продажи транспортного средства, в том числе по схеме "трейд-ин".</w:t>
      </w:r>
    </w:p>
    <w:p w14:paraId="24ECCB5A" w14:textId="77777777" w:rsidR="00A10E11" w:rsidRDefault="00A10E11" w:rsidP="00A10E11">
      <w:pPr>
        <w:tabs>
          <w:tab w:val="left" w:pos="567"/>
        </w:tabs>
        <w:rPr>
          <w:b/>
          <w:szCs w:val="28"/>
        </w:rPr>
      </w:pPr>
    </w:p>
    <w:p w14:paraId="20AB812B" w14:textId="77777777" w:rsidR="00A10E11" w:rsidRDefault="00A10E11" w:rsidP="00A10E11">
      <w:pPr>
        <w:tabs>
          <w:tab w:val="left" w:pos="567"/>
        </w:tabs>
        <w:rPr>
          <w:b/>
          <w:szCs w:val="28"/>
        </w:rPr>
      </w:pPr>
    </w:p>
    <w:p w14:paraId="7DD31E1E" w14:textId="2B4211A4" w:rsidR="00A10E11" w:rsidRPr="00A10E11" w:rsidRDefault="00A10E11" w:rsidP="00A10E11">
      <w:pPr>
        <w:tabs>
          <w:tab w:val="left" w:pos="567"/>
        </w:tabs>
        <w:rPr>
          <w:b/>
          <w:szCs w:val="28"/>
        </w:rPr>
      </w:pPr>
      <w:r w:rsidRPr="00A10E11">
        <w:rPr>
          <w:b/>
          <w:szCs w:val="28"/>
        </w:rPr>
        <w:t>Цифровые финансовые активы, цифровые права, включающие одновременно цифровые финансовые активы и иные цифровые права</w:t>
      </w:r>
    </w:p>
    <w:p w14:paraId="431D6462" w14:textId="28B2E9B4" w:rsidR="00A10E11" w:rsidRDefault="00A10E11" w:rsidP="00A10E11"/>
    <w:p w14:paraId="4157D862" w14:textId="77777777" w:rsidR="00A10E11" w:rsidRPr="00FF4A92" w:rsidRDefault="00A10E11" w:rsidP="00FF4A92">
      <w:pPr>
        <w:widowControl w:val="0"/>
        <w:tabs>
          <w:tab w:val="left" w:pos="567"/>
        </w:tabs>
        <w:ind w:firstLine="567"/>
        <w:rPr>
          <w:rStyle w:val="a4"/>
          <w:rFonts w:ascii="Times New Roman" w:hAnsi="Times New Roman"/>
          <w:szCs w:val="28"/>
        </w:rPr>
      </w:pPr>
      <w:r w:rsidRPr="00FF4A92">
        <w:rPr>
          <w:rStyle w:val="a4"/>
          <w:rFonts w:ascii="Times New Roman" w:hAnsi="Times New Roman"/>
          <w:szCs w:val="28"/>
        </w:rPr>
        <w:t>В соответствии со статьей 141.1 Гражданского кодекса Российской Федерации цифровыми правами признаются названные в таком качестве в законе обязательственные и иные права, содержание и условия осуществления которых определяются в соответствии с правилами информационной системы, отвечающей установленным законом признакам. Осуществление, распоряжение, в том числе передача, залог, обременение цифрового права другими способами или ограничение распоряжения цифровым правом возможны только в информационной системе без обращения к третьему лицу.</w:t>
      </w:r>
    </w:p>
    <w:p w14:paraId="62150E07" w14:textId="77777777" w:rsidR="00A10E11" w:rsidRPr="00FF4A92" w:rsidRDefault="00A10E11" w:rsidP="00FF4A92">
      <w:pPr>
        <w:widowControl w:val="0"/>
        <w:tabs>
          <w:tab w:val="left" w:pos="567"/>
        </w:tabs>
        <w:ind w:firstLine="567"/>
        <w:rPr>
          <w:rStyle w:val="a4"/>
          <w:rFonts w:ascii="Times New Roman" w:hAnsi="Times New Roman"/>
          <w:b/>
          <w:szCs w:val="28"/>
        </w:rPr>
      </w:pPr>
      <w:r w:rsidRPr="00FF4A92">
        <w:rPr>
          <w:rStyle w:val="a4"/>
          <w:rFonts w:ascii="Times New Roman" w:hAnsi="Times New Roman"/>
          <w:szCs w:val="28"/>
        </w:rPr>
        <w:lastRenderedPageBreak/>
        <w:t>В соответствии со статьей 1 Федерального закона от 31 июля 2020 г. № 259-ФЗ "О цифровых финансовых активах, цифровой валюте и о внесении изменений в отдельные законодательные акты Российской Федерации" цифровыми финансовыми активами признаются цифровые права, включающие денежные требования, возможность осуществления прав по эмиссионным ценным бумагам, права участия в капитале непубличного акционерного общества, право требовать передачи эмиссионных ценных бумаг, которые предусмотрены решением о выпуске цифровых финансовых активов в порядке, установленном указанным Федеральным законом, выпуск, учет и обращение которых возможны только путем внесения (изменения) записей в информационную систему на основе распределенного реестра, а также в иные информационные системы, в том числе цифровые финансовые активы, выпущенные в информационных системах, организованных в соответствии с иностранным правом.</w:t>
      </w:r>
    </w:p>
    <w:p w14:paraId="5CC807FF" w14:textId="77777777" w:rsidR="00A10E11" w:rsidRPr="00FF4A92" w:rsidRDefault="00A10E11" w:rsidP="00A10E11">
      <w:pPr>
        <w:widowControl w:val="0"/>
        <w:tabs>
          <w:tab w:val="left" w:pos="567"/>
        </w:tabs>
        <w:ind w:firstLine="567"/>
        <w:rPr>
          <w:rStyle w:val="a4"/>
          <w:rFonts w:ascii="Times New Roman" w:hAnsi="Times New Roman"/>
          <w:szCs w:val="28"/>
        </w:rPr>
      </w:pPr>
      <w:r w:rsidRPr="00FF4A92">
        <w:rPr>
          <w:rStyle w:val="a4"/>
          <w:rFonts w:ascii="Times New Roman" w:hAnsi="Times New Roman"/>
          <w:szCs w:val="28"/>
        </w:rPr>
        <w:t>Выпуск, учет и обращение цифровых прав, включающих одновременно цифровые финансовые активы и иные цифровые права, осуществляются в соответствии с требованиями указанного Федерального закона к выпуску, учету и обращению цифровых финансовых активов.</w:t>
      </w:r>
    </w:p>
    <w:p w14:paraId="72BC6ABD" w14:textId="0D1AA321" w:rsidR="00A10E11" w:rsidRDefault="00A10E11" w:rsidP="00A10E11"/>
    <w:p w14:paraId="51F0EE4C" w14:textId="22F2B420" w:rsidR="00A10E11" w:rsidRDefault="00A10E11" w:rsidP="00A10E11"/>
    <w:p w14:paraId="53F4F349" w14:textId="0B78E4C1" w:rsidR="00A10E11" w:rsidRDefault="00A10E11" w:rsidP="00A10E11">
      <w:pPr>
        <w:rPr>
          <w:b/>
          <w:szCs w:val="28"/>
        </w:rPr>
      </w:pPr>
      <w:r w:rsidRPr="002A19F0">
        <w:rPr>
          <w:b/>
          <w:szCs w:val="28"/>
        </w:rPr>
        <w:t>Цифровая валюта</w:t>
      </w:r>
    </w:p>
    <w:p w14:paraId="0588749E" w14:textId="77777777" w:rsidR="00A10E11" w:rsidRPr="00FF4A92" w:rsidRDefault="00A10E11" w:rsidP="00FF4A92">
      <w:pPr>
        <w:widowControl w:val="0"/>
        <w:tabs>
          <w:tab w:val="left" w:pos="567"/>
        </w:tabs>
        <w:rPr>
          <w:rStyle w:val="a4"/>
          <w:rFonts w:ascii="Times New Roman" w:hAnsi="Times New Roman"/>
          <w:szCs w:val="28"/>
        </w:rPr>
      </w:pPr>
      <w:r w:rsidRPr="00FF4A92">
        <w:rPr>
          <w:rStyle w:val="a4"/>
          <w:rFonts w:ascii="Times New Roman" w:hAnsi="Times New Roman"/>
          <w:szCs w:val="28"/>
        </w:rPr>
        <w:t>В соответствии со статьей 1 Федерального закона от 31 июля 2020 г. № 259-ФЗ "О цифровых финансовых активах, цифровой валюте и о внесении изменений в отдельные законодательные акты Российской Федерации" цифровой валютой признается совокупность электронных данных (цифрового кода или обозначения), содержащихся в информационной системе, которые предлагаются и (или) могут быть приняты в качестве средства платежа, не являющегося денежной единицей Российской Федерации, денежной единицей иностранного государства и (или) международной денежной или расчетной единицей, и (или) в качестве инвестиций и в отношении которых отсутствует лицо, обязанное перед каждым обладателем таких электронных данных, за исключением оператора и (или) узлов информационной системы, обязанных только обеспечивать соответствие порядка выпуска этих электронных данных и осуществления в их отношении действий по внесению (изменению) записей в такую информационную систему ее правилам.</w:t>
      </w:r>
    </w:p>
    <w:p w14:paraId="5EEE8147" w14:textId="77777777" w:rsidR="00A10E11" w:rsidRPr="00FF4A92" w:rsidRDefault="00A10E11" w:rsidP="00FF4A92">
      <w:pPr>
        <w:widowControl w:val="0"/>
        <w:tabs>
          <w:tab w:val="left" w:pos="567"/>
        </w:tabs>
        <w:rPr>
          <w:rStyle w:val="a4"/>
          <w:rFonts w:ascii="Times New Roman" w:hAnsi="Times New Roman"/>
          <w:szCs w:val="28"/>
        </w:rPr>
      </w:pPr>
      <w:r w:rsidRPr="00FF4A92">
        <w:rPr>
          <w:rStyle w:val="a4"/>
          <w:rFonts w:ascii="Times New Roman" w:hAnsi="Times New Roman"/>
          <w:szCs w:val="28"/>
        </w:rPr>
        <w:t>К цифровой валюте не относятся бонусные баллы, бонусы на накопительных дисконтных картах, начисленные банками и иными организациями за пользование их услугами, в том числе в виде денежных средств ("</w:t>
      </w:r>
      <w:proofErr w:type="spellStart"/>
      <w:r w:rsidRPr="00FF4A92">
        <w:rPr>
          <w:rStyle w:val="a4"/>
          <w:rFonts w:ascii="Times New Roman" w:hAnsi="Times New Roman"/>
          <w:szCs w:val="28"/>
        </w:rPr>
        <w:t>кешбэк</w:t>
      </w:r>
      <w:proofErr w:type="spellEnd"/>
      <w:r w:rsidRPr="00FF4A92">
        <w:rPr>
          <w:rStyle w:val="a4"/>
          <w:rFonts w:ascii="Times New Roman" w:hAnsi="Times New Roman"/>
          <w:szCs w:val="28"/>
        </w:rPr>
        <w:t xml:space="preserve"> сервис").</w:t>
      </w:r>
    </w:p>
    <w:p w14:paraId="7EE25D40" w14:textId="77777777" w:rsidR="00A10E11" w:rsidRPr="002A19F0" w:rsidRDefault="00A10E11" w:rsidP="00A10E11">
      <w:pPr>
        <w:pStyle w:val="a3"/>
        <w:widowControl w:val="0"/>
        <w:numPr>
          <w:ilvl w:val="0"/>
          <w:numId w:val="8"/>
        </w:numPr>
        <w:tabs>
          <w:tab w:val="left" w:pos="567"/>
        </w:tabs>
        <w:ind w:left="0" w:firstLine="567"/>
        <w:rPr>
          <w:rStyle w:val="a4"/>
          <w:rFonts w:ascii="Times New Roman" w:hAnsi="Times New Roman"/>
          <w:sz w:val="28"/>
          <w:szCs w:val="28"/>
        </w:rPr>
      </w:pPr>
      <w:r w:rsidRPr="002A19F0">
        <w:rPr>
          <w:rStyle w:val="a4"/>
          <w:rFonts w:ascii="Times New Roman" w:hAnsi="Times New Roman"/>
          <w:sz w:val="28"/>
          <w:szCs w:val="28"/>
        </w:rPr>
        <w:lastRenderedPageBreak/>
        <w:t xml:space="preserve">Примерами цифровой валюты являются: Биткоин (BTC), </w:t>
      </w:r>
      <w:proofErr w:type="spellStart"/>
      <w:r w:rsidRPr="002A19F0">
        <w:rPr>
          <w:rStyle w:val="a4"/>
          <w:rFonts w:ascii="Times New Roman" w:hAnsi="Times New Roman"/>
          <w:sz w:val="28"/>
          <w:szCs w:val="28"/>
        </w:rPr>
        <w:t>Эфириум</w:t>
      </w:r>
      <w:proofErr w:type="spellEnd"/>
      <w:r w:rsidRPr="002A19F0">
        <w:rPr>
          <w:rStyle w:val="a4"/>
          <w:rFonts w:ascii="Times New Roman" w:hAnsi="Times New Roman"/>
          <w:sz w:val="28"/>
          <w:szCs w:val="28"/>
        </w:rPr>
        <w:t xml:space="preserve"> (ETH), </w:t>
      </w:r>
      <w:proofErr w:type="spellStart"/>
      <w:r w:rsidRPr="002A19F0">
        <w:rPr>
          <w:rStyle w:val="a4"/>
          <w:rFonts w:ascii="Times New Roman" w:hAnsi="Times New Roman"/>
          <w:sz w:val="28"/>
          <w:szCs w:val="28"/>
        </w:rPr>
        <w:t>Тезер</w:t>
      </w:r>
      <w:proofErr w:type="spellEnd"/>
      <w:r w:rsidRPr="002A19F0">
        <w:rPr>
          <w:rStyle w:val="a4"/>
          <w:rFonts w:ascii="Times New Roman" w:hAnsi="Times New Roman"/>
          <w:sz w:val="28"/>
          <w:szCs w:val="28"/>
        </w:rPr>
        <w:t xml:space="preserve"> (USDT) и др.</w:t>
      </w:r>
    </w:p>
    <w:p w14:paraId="4D2065FF" w14:textId="77777777" w:rsidR="00A10E11" w:rsidRPr="002A19F0" w:rsidRDefault="00A10E11" w:rsidP="00A10E11">
      <w:pPr>
        <w:pStyle w:val="a3"/>
        <w:widowControl w:val="0"/>
        <w:numPr>
          <w:ilvl w:val="0"/>
          <w:numId w:val="8"/>
        </w:numPr>
        <w:tabs>
          <w:tab w:val="left" w:pos="567"/>
        </w:tabs>
        <w:ind w:left="0" w:firstLine="567"/>
        <w:rPr>
          <w:rStyle w:val="a4"/>
          <w:rFonts w:ascii="Times New Roman" w:hAnsi="Times New Roman"/>
          <w:sz w:val="28"/>
          <w:szCs w:val="28"/>
        </w:rPr>
      </w:pPr>
      <w:r w:rsidRPr="002A19F0">
        <w:rPr>
          <w:rStyle w:val="a4"/>
          <w:rFonts w:ascii="Times New Roman" w:hAnsi="Times New Roman"/>
          <w:sz w:val="28"/>
          <w:szCs w:val="28"/>
        </w:rPr>
        <w:t>В графе "</w:t>
      </w:r>
      <w:r w:rsidRPr="002A19F0">
        <w:rPr>
          <w:rStyle w:val="a4"/>
          <w:rFonts w:ascii="Times New Roman" w:hAnsi="Times New Roman"/>
          <w:b/>
          <w:sz w:val="28"/>
          <w:szCs w:val="28"/>
        </w:rPr>
        <w:t>Наименование цифровой валюты</w:t>
      </w:r>
      <w:r w:rsidRPr="002A19F0">
        <w:rPr>
          <w:rStyle w:val="a4"/>
          <w:rFonts w:ascii="Times New Roman" w:hAnsi="Times New Roman"/>
          <w:sz w:val="28"/>
          <w:szCs w:val="28"/>
        </w:rPr>
        <w:t>" указывается наименование цифровой валюты в соответствии с применимыми документами (без произвольной транслитерации).</w:t>
      </w:r>
    </w:p>
    <w:p w14:paraId="6EF5CA51" w14:textId="77777777" w:rsidR="00A10E11" w:rsidRPr="002A19F0" w:rsidRDefault="00A10E11" w:rsidP="00A10E11">
      <w:pPr>
        <w:pStyle w:val="a3"/>
        <w:widowControl w:val="0"/>
        <w:numPr>
          <w:ilvl w:val="0"/>
          <w:numId w:val="8"/>
        </w:numPr>
        <w:tabs>
          <w:tab w:val="left" w:pos="567"/>
        </w:tabs>
        <w:ind w:left="0" w:firstLine="567"/>
        <w:rPr>
          <w:rStyle w:val="a4"/>
          <w:rFonts w:ascii="Times New Roman" w:hAnsi="Times New Roman"/>
          <w:sz w:val="28"/>
          <w:szCs w:val="28"/>
        </w:rPr>
      </w:pPr>
      <w:r w:rsidRPr="002A19F0">
        <w:rPr>
          <w:rStyle w:val="a4"/>
          <w:rFonts w:ascii="Times New Roman" w:hAnsi="Times New Roman"/>
          <w:sz w:val="28"/>
          <w:szCs w:val="28"/>
        </w:rPr>
        <w:t>В графе "</w:t>
      </w:r>
      <w:r w:rsidRPr="002A19F0">
        <w:rPr>
          <w:rStyle w:val="a4"/>
          <w:rFonts w:ascii="Times New Roman" w:hAnsi="Times New Roman"/>
          <w:b/>
          <w:sz w:val="28"/>
          <w:szCs w:val="28"/>
        </w:rPr>
        <w:t>Дата приобретения</w:t>
      </w:r>
      <w:r w:rsidRPr="002A19F0">
        <w:rPr>
          <w:rStyle w:val="a4"/>
          <w:rFonts w:ascii="Times New Roman" w:hAnsi="Times New Roman"/>
          <w:sz w:val="28"/>
          <w:szCs w:val="28"/>
        </w:rPr>
        <w:t>" указывается дата приобретения цифровой валюты.</w:t>
      </w:r>
    </w:p>
    <w:p w14:paraId="665F67BB" w14:textId="77777777" w:rsidR="00A10E11" w:rsidRPr="002A19F0" w:rsidRDefault="00A10E11" w:rsidP="00A10E11">
      <w:pPr>
        <w:pStyle w:val="a3"/>
        <w:widowControl w:val="0"/>
        <w:tabs>
          <w:tab w:val="left" w:pos="567"/>
        </w:tabs>
        <w:ind w:left="0" w:firstLine="567"/>
        <w:rPr>
          <w:rStyle w:val="a4"/>
          <w:rFonts w:ascii="Times New Roman" w:hAnsi="Times New Roman"/>
          <w:sz w:val="28"/>
          <w:szCs w:val="28"/>
        </w:rPr>
      </w:pPr>
      <w:r w:rsidRPr="002A19F0">
        <w:rPr>
          <w:rStyle w:val="a4"/>
          <w:rFonts w:ascii="Times New Roman" w:hAnsi="Times New Roman"/>
          <w:sz w:val="28"/>
          <w:szCs w:val="28"/>
        </w:rPr>
        <w:t>"</w:t>
      </w:r>
      <w:r w:rsidRPr="002A19F0">
        <w:rPr>
          <w:rStyle w:val="a4"/>
          <w:rFonts w:ascii="Times New Roman" w:hAnsi="Times New Roman"/>
          <w:b/>
          <w:sz w:val="28"/>
          <w:szCs w:val="28"/>
        </w:rPr>
        <w:t>Дата приобретения</w:t>
      </w:r>
      <w:r w:rsidRPr="002A19F0">
        <w:rPr>
          <w:rStyle w:val="a4"/>
          <w:rFonts w:ascii="Times New Roman" w:hAnsi="Times New Roman"/>
          <w:sz w:val="28"/>
          <w:szCs w:val="28"/>
        </w:rPr>
        <w:t>" цифровой валюты может совпадать с датой транзакции, то есть с датой передачи цифровой валюты от одного лица другому.</w:t>
      </w:r>
    </w:p>
    <w:p w14:paraId="751B56C2" w14:textId="77777777" w:rsidR="00A10E11" w:rsidRPr="002A19F0" w:rsidRDefault="00A10E11" w:rsidP="00A10E11">
      <w:pPr>
        <w:pStyle w:val="a3"/>
        <w:widowControl w:val="0"/>
        <w:numPr>
          <w:ilvl w:val="0"/>
          <w:numId w:val="8"/>
        </w:numPr>
        <w:tabs>
          <w:tab w:val="left" w:pos="567"/>
        </w:tabs>
        <w:ind w:left="0" w:firstLine="567"/>
        <w:rPr>
          <w:rFonts w:ascii="Times New Roman" w:hAnsi="Times New Roman"/>
          <w:b/>
          <w:sz w:val="28"/>
          <w:szCs w:val="28"/>
        </w:rPr>
      </w:pPr>
      <w:r w:rsidRPr="002A19F0">
        <w:rPr>
          <w:rStyle w:val="a4"/>
          <w:rFonts w:ascii="Times New Roman" w:hAnsi="Times New Roman"/>
          <w:sz w:val="28"/>
          <w:szCs w:val="28"/>
        </w:rPr>
        <w:t>В графе "</w:t>
      </w:r>
      <w:r w:rsidRPr="002A19F0">
        <w:rPr>
          <w:rStyle w:val="a4"/>
          <w:rFonts w:ascii="Times New Roman" w:hAnsi="Times New Roman"/>
          <w:b/>
          <w:sz w:val="28"/>
          <w:szCs w:val="28"/>
        </w:rPr>
        <w:t>Общее количество</w:t>
      </w:r>
      <w:r w:rsidRPr="002A19F0">
        <w:rPr>
          <w:rStyle w:val="a4"/>
          <w:rFonts w:ascii="Times New Roman" w:hAnsi="Times New Roman"/>
          <w:sz w:val="28"/>
          <w:szCs w:val="28"/>
        </w:rPr>
        <w:t xml:space="preserve">" указывается точное количество цифровой валюты, находящейся в собственности (без округления). </w:t>
      </w:r>
    </w:p>
    <w:p w14:paraId="37EC7670" w14:textId="0056EC7B" w:rsidR="00A10E11" w:rsidRDefault="00A10E11" w:rsidP="00A10E11"/>
    <w:p w14:paraId="21BAD03A" w14:textId="70212836" w:rsidR="00FF4A92" w:rsidRDefault="00FF4A92" w:rsidP="00FF4A92">
      <w:pPr>
        <w:jc w:val="center"/>
        <w:rPr>
          <w:b/>
          <w:szCs w:val="28"/>
        </w:rPr>
      </w:pPr>
      <w:r w:rsidRPr="00FF4A92">
        <w:rPr>
          <w:b/>
          <w:szCs w:val="28"/>
          <w:highlight w:val="yellow"/>
        </w:rPr>
        <w:t>СВЕДЕНИЯ О СЧЕТАХ В БАНКАХ И ИНЫХ КРЕДИТНЫХ ОРГАНИЗАЦИЯХ</w:t>
      </w:r>
    </w:p>
    <w:p w14:paraId="43108299" w14:textId="6B6EFF78" w:rsidR="00FF4A92" w:rsidRDefault="00FF4A92" w:rsidP="00FF4A92">
      <w:pPr>
        <w:rPr>
          <w:b/>
          <w:szCs w:val="28"/>
        </w:rPr>
      </w:pPr>
    </w:p>
    <w:p w14:paraId="412A729A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В данном разделе справки отражается информация обо всех счетах, открытых по состоянию на отчетную дату в банках и иных кредитных организациях на основании гражданско-правового договора на имя лица, в отношении которого представляется справка.</w:t>
      </w:r>
    </w:p>
    <w:p w14:paraId="147B620D" w14:textId="5759AA08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В частности, подлежит указанию информация о следующих открытых счетах (в том числе по счетам, к которым не эмитированы (не выпущены) платежные карты):</w:t>
      </w:r>
    </w:p>
    <w:p w14:paraId="5C6D59F9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1) счета с нулевым остатком по состоянию на отчетную дату;</w:t>
      </w:r>
    </w:p>
    <w:p w14:paraId="6A2189B5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2) счета, совершение операций по которым осуществляется с использованием расчетных (дебетовых) карт, кредитных карт, например, различные виды социальных карт (социальная карта москвича, социальная карта студента, социальная карта учащегося), платежных карт для зачисления пенсии и др., в том числе в случаях окончания срока действия этих карт (их блокировки), если при этом счет не был закрыт;</w:t>
      </w:r>
    </w:p>
    <w:p w14:paraId="23ACE64F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3) счета (вклады) в иностранных банках, расположенных за пределами Российской Федерации.</w:t>
      </w:r>
    </w:p>
    <w:p w14:paraId="3B0C1A59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outlineLvl w:val="1"/>
        <w:rPr>
          <w:rFonts w:eastAsia="Calibri" w:cs="Times New Roman"/>
          <w:color w:val="000000"/>
          <w:szCs w:val="28"/>
          <w:shd w:val="clear" w:color="auto" w:fill="FFFFFF"/>
        </w:rPr>
      </w:pPr>
      <w:r w:rsidRPr="00FF4A92">
        <w:rPr>
          <w:rFonts w:eastAsia="Calibri" w:cs="Times New Roman"/>
          <w:color w:val="000000"/>
          <w:szCs w:val="28"/>
          <w:shd w:val="clear" w:color="auto" w:fill="FFFFFF"/>
        </w:rPr>
        <w:t>При наличии средств (вкладов) в иностранных банках, расположенных за пределами территории Российской Федерации, которые подлежат закрытию, рекомендуется приложить копию заявления, поданного в соответствующую комиссию, о невозможности выполнить требования Федерального закона от 7 мая 2013 г. № 79-ФЗ;</w:t>
      </w:r>
    </w:p>
    <w:p w14:paraId="5A5BA445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4) счета, открытые для погашения кредита;</w:t>
      </w:r>
    </w:p>
    <w:p w14:paraId="08B9C00A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5) вклады (счета) в драгоценных металлах (в том числе указывается вид счета и металл, в котором он открыт);</w:t>
      </w:r>
    </w:p>
    <w:p w14:paraId="5908F25C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6) счета, открытые гражданам, зарегистрированным в качестве индивидуальных предпринимателей.</w:t>
      </w:r>
      <w:r w:rsidRPr="00FF4A92">
        <w:rPr>
          <w:rFonts w:eastAsia="Calibri" w:cs="Times New Roman"/>
          <w:color w:val="000000"/>
          <w:szCs w:val="28"/>
          <w:lang w:eastAsia="ru-RU" w:bidi="ru-RU"/>
        </w:rPr>
        <w:t xml:space="preserve"> При этом прилагать выписку о движении </w:t>
      </w:r>
      <w:r w:rsidRPr="00FF4A92">
        <w:rPr>
          <w:rFonts w:eastAsia="Calibri" w:cs="Times New Roman"/>
          <w:color w:val="000000"/>
          <w:szCs w:val="28"/>
          <w:lang w:eastAsia="ru-RU" w:bidi="ru-RU"/>
        </w:rPr>
        <w:lastRenderedPageBreak/>
        <w:t>денежных средств по расчетному счету индивидуального предпринимателя не требуется</w:t>
      </w:r>
      <w:r w:rsidRPr="00FF4A92">
        <w:rPr>
          <w:rFonts w:eastAsia="Calibri" w:cs="Times New Roman"/>
          <w:szCs w:val="28"/>
        </w:rPr>
        <w:t>;</w:t>
      </w:r>
    </w:p>
    <w:p w14:paraId="47468C23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7) номинальный счет;</w:t>
      </w:r>
    </w:p>
    <w:p w14:paraId="787AF6F3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contextualSpacing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 xml:space="preserve">8) счет </w:t>
      </w:r>
      <w:proofErr w:type="spellStart"/>
      <w:r w:rsidRPr="00FF4A92">
        <w:rPr>
          <w:rFonts w:eastAsia="Calibri" w:cs="Times New Roman"/>
          <w:szCs w:val="28"/>
        </w:rPr>
        <w:t>эскроу</w:t>
      </w:r>
      <w:proofErr w:type="spellEnd"/>
      <w:r w:rsidRPr="00FF4A92">
        <w:rPr>
          <w:rFonts w:eastAsia="Calibri" w:cs="Times New Roman"/>
          <w:szCs w:val="28"/>
        </w:rPr>
        <w:t>.</w:t>
      </w:r>
    </w:p>
    <w:p w14:paraId="2060B91F" w14:textId="77777777" w:rsidR="00FF4A92" w:rsidRPr="00FF4A92" w:rsidRDefault="00FF4A92" w:rsidP="00FF4A92">
      <w:pPr>
        <w:tabs>
          <w:tab w:val="left" w:pos="567"/>
        </w:tabs>
        <w:spacing w:after="0" w:line="240" w:lineRule="auto"/>
        <w:ind w:firstLine="567"/>
        <w:rPr>
          <w:rFonts w:eastAsia="Calibri" w:cs="Times New Roman"/>
          <w:szCs w:val="28"/>
        </w:rPr>
      </w:pPr>
      <w:r w:rsidRPr="00FF4A92">
        <w:rPr>
          <w:rFonts w:eastAsia="Calibri" w:cs="Times New Roman"/>
          <w:szCs w:val="28"/>
        </w:rPr>
        <w:t>Отражение граммов драгоценного металла в рублевом эквиваленте осуществляется аналогично счетам, открытым в иностранной валюте. Остаток на вкладе (счете) в драгоценных металлах указывается в рублях по учетным ценам Банка России на драгоценные металлы на отчетную дату.</w:t>
      </w:r>
    </w:p>
    <w:p w14:paraId="1C4BA145" w14:textId="77777777" w:rsidR="00FF4A92" w:rsidRPr="00FF4A92" w:rsidRDefault="00FF4A92" w:rsidP="00FF4A92">
      <w:pPr>
        <w:ind w:firstLine="708"/>
      </w:pPr>
    </w:p>
    <w:sectPr w:rsidR="00FF4A92" w:rsidRPr="00FF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FED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811D1C"/>
    <w:multiLevelType w:val="hybridMultilevel"/>
    <w:tmpl w:val="DC02E6B0"/>
    <w:lvl w:ilvl="0" w:tplc="884E9C14">
      <w:start w:val="1"/>
      <w:numFmt w:val="decimal"/>
      <w:lvlText w:val="%1)"/>
      <w:lvlJc w:val="left"/>
      <w:pPr>
        <w:ind w:left="1429" w:hanging="360"/>
      </w:pPr>
    </w:lvl>
    <w:lvl w:ilvl="1" w:tplc="500AFA08">
      <w:start w:val="1"/>
      <w:numFmt w:val="lowerLetter"/>
      <w:lvlText w:val="%2."/>
      <w:lvlJc w:val="left"/>
      <w:pPr>
        <w:ind w:left="2149" w:hanging="360"/>
      </w:pPr>
    </w:lvl>
    <w:lvl w:ilvl="2" w:tplc="904AF3CC">
      <w:start w:val="1"/>
      <w:numFmt w:val="lowerRoman"/>
      <w:lvlText w:val="%3."/>
      <w:lvlJc w:val="right"/>
      <w:pPr>
        <w:ind w:left="2869" w:hanging="180"/>
      </w:pPr>
    </w:lvl>
    <w:lvl w:ilvl="3" w:tplc="87A89F7C">
      <w:start w:val="1"/>
      <w:numFmt w:val="decimal"/>
      <w:lvlText w:val="%4."/>
      <w:lvlJc w:val="left"/>
      <w:pPr>
        <w:ind w:left="3589" w:hanging="360"/>
      </w:pPr>
    </w:lvl>
    <w:lvl w:ilvl="4" w:tplc="FE06D41A">
      <w:start w:val="1"/>
      <w:numFmt w:val="lowerLetter"/>
      <w:lvlText w:val="%5."/>
      <w:lvlJc w:val="left"/>
      <w:pPr>
        <w:ind w:left="4309" w:hanging="360"/>
      </w:pPr>
    </w:lvl>
    <w:lvl w:ilvl="5" w:tplc="66765242">
      <w:start w:val="1"/>
      <w:numFmt w:val="lowerRoman"/>
      <w:lvlText w:val="%6."/>
      <w:lvlJc w:val="right"/>
      <w:pPr>
        <w:ind w:left="5029" w:hanging="180"/>
      </w:pPr>
    </w:lvl>
    <w:lvl w:ilvl="6" w:tplc="FFAC0B28">
      <w:start w:val="1"/>
      <w:numFmt w:val="decimal"/>
      <w:lvlText w:val="%7."/>
      <w:lvlJc w:val="left"/>
      <w:pPr>
        <w:ind w:left="5749" w:hanging="360"/>
      </w:pPr>
    </w:lvl>
    <w:lvl w:ilvl="7" w:tplc="58449356">
      <w:start w:val="1"/>
      <w:numFmt w:val="lowerLetter"/>
      <w:lvlText w:val="%8."/>
      <w:lvlJc w:val="left"/>
      <w:pPr>
        <w:ind w:left="6469" w:hanging="360"/>
      </w:pPr>
    </w:lvl>
    <w:lvl w:ilvl="8" w:tplc="DF64A90C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757AE8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34DB0232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9AA623B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1FA6697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4DD8252D"/>
    <w:multiLevelType w:val="hybridMultilevel"/>
    <w:tmpl w:val="EAC2C512"/>
    <w:lvl w:ilvl="0" w:tplc="EB3C09F4">
      <w:start w:val="1"/>
      <w:numFmt w:val="decimal"/>
      <w:lvlText w:val="%1)"/>
      <w:lvlJc w:val="left"/>
      <w:pPr>
        <w:ind w:left="1429" w:hanging="360"/>
      </w:pPr>
    </w:lvl>
    <w:lvl w:ilvl="1" w:tplc="2F3EB9C4">
      <w:start w:val="1"/>
      <w:numFmt w:val="lowerLetter"/>
      <w:lvlText w:val="%2."/>
      <w:lvlJc w:val="left"/>
      <w:pPr>
        <w:ind w:left="2149" w:hanging="360"/>
      </w:pPr>
    </w:lvl>
    <w:lvl w:ilvl="2" w:tplc="0A2462FA">
      <w:start w:val="1"/>
      <w:numFmt w:val="lowerRoman"/>
      <w:lvlText w:val="%3."/>
      <w:lvlJc w:val="right"/>
      <w:pPr>
        <w:ind w:left="2869" w:hanging="180"/>
      </w:pPr>
    </w:lvl>
    <w:lvl w:ilvl="3" w:tplc="65FAA4CC">
      <w:start w:val="1"/>
      <w:numFmt w:val="decimal"/>
      <w:lvlText w:val="%4."/>
      <w:lvlJc w:val="left"/>
      <w:pPr>
        <w:ind w:left="3589" w:hanging="360"/>
      </w:pPr>
    </w:lvl>
    <w:lvl w:ilvl="4" w:tplc="90EAFC94">
      <w:start w:val="1"/>
      <w:numFmt w:val="lowerLetter"/>
      <w:lvlText w:val="%5."/>
      <w:lvlJc w:val="left"/>
      <w:pPr>
        <w:ind w:left="4309" w:hanging="360"/>
      </w:pPr>
    </w:lvl>
    <w:lvl w:ilvl="5" w:tplc="3DCC1826">
      <w:start w:val="1"/>
      <w:numFmt w:val="lowerRoman"/>
      <w:lvlText w:val="%6."/>
      <w:lvlJc w:val="right"/>
      <w:pPr>
        <w:ind w:left="5029" w:hanging="180"/>
      </w:pPr>
    </w:lvl>
    <w:lvl w:ilvl="6" w:tplc="E78C7374">
      <w:start w:val="1"/>
      <w:numFmt w:val="decimal"/>
      <w:lvlText w:val="%7."/>
      <w:lvlJc w:val="left"/>
      <w:pPr>
        <w:ind w:left="5749" w:hanging="360"/>
      </w:pPr>
    </w:lvl>
    <w:lvl w:ilvl="7" w:tplc="CA129A4C">
      <w:start w:val="1"/>
      <w:numFmt w:val="lowerLetter"/>
      <w:lvlText w:val="%8."/>
      <w:lvlJc w:val="left"/>
      <w:pPr>
        <w:ind w:left="6469" w:hanging="360"/>
      </w:pPr>
    </w:lvl>
    <w:lvl w:ilvl="8" w:tplc="F04654DE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35058F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60E756B1"/>
    <w:multiLevelType w:val="hybridMultilevel"/>
    <w:tmpl w:val="49F834C0"/>
    <w:lvl w:ilvl="0" w:tplc="3618B33A">
      <w:start w:val="1"/>
      <w:numFmt w:val="decimal"/>
      <w:lvlText w:val="%1."/>
      <w:lvlJc w:val="center"/>
      <w:pPr>
        <w:ind w:left="2422" w:hanging="720"/>
      </w:pPr>
      <w:rPr>
        <w:rFonts w:hint="default"/>
        <w:b w:val="0"/>
        <w:color w:val="auto"/>
        <w:sz w:val="28"/>
        <w:szCs w:val="28"/>
      </w:rPr>
    </w:lvl>
    <w:lvl w:ilvl="1" w:tplc="660C5CE6">
      <w:start w:val="1"/>
      <w:numFmt w:val="decimal"/>
      <w:lvlText w:val="%2)"/>
      <w:lvlJc w:val="left"/>
      <w:pPr>
        <w:ind w:left="2858" w:hanging="360"/>
      </w:pPr>
    </w:lvl>
    <w:lvl w:ilvl="2" w:tplc="476445FC">
      <w:start w:val="1"/>
      <w:numFmt w:val="lowerRoman"/>
      <w:lvlText w:val="%3."/>
      <w:lvlJc w:val="right"/>
      <w:pPr>
        <w:ind w:left="3578" w:hanging="180"/>
      </w:pPr>
    </w:lvl>
    <w:lvl w:ilvl="3" w:tplc="6144D182">
      <w:start w:val="1"/>
      <w:numFmt w:val="decimal"/>
      <w:lvlText w:val="%4."/>
      <w:lvlJc w:val="left"/>
      <w:pPr>
        <w:ind w:left="4298" w:hanging="360"/>
      </w:pPr>
    </w:lvl>
    <w:lvl w:ilvl="4" w:tplc="05DE5BF0">
      <w:start w:val="1"/>
      <w:numFmt w:val="lowerLetter"/>
      <w:lvlText w:val="%5."/>
      <w:lvlJc w:val="left"/>
      <w:pPr>
        <w:ind w:left="5018" w:hanging="360"/>
      </w:pPr>
    </w:lvl>
    <w:lvl w:ilvl="5" w:tplc="9CC6D560">
      <w:start w:val="1"/>
      <w:numFmt w:val="lowerRoman"/>
      <w:lvlText w:val="%6."/>
      <w:lvlJc w:val="right"/>
      <w:pPr>
        <w:ind w:left="5738" w:hanging="180"/>
      </w:pPr>
    </w:lvl>
    <w:lvl w:ilvl="6" w:tplc="67BAA578">
      <w:start w:val="1"/>
      <w:numFmt w:val="decimal"/>
      <w:lvlText w:val="%7."/>
      <w:lvlJc w:val="left"/>
      <w:pPr>
        <w:ind w:left="6458" w:hanging="360"/>
      </w:pPr>
    </w:lvl>
    <w:lvl w:ilvl="7" w:tplc="82CE930C">
      <w:start w:val="1"/>
      <w:numFmt w:val="lowerLetter"/>
      <w:lvlText w:val="%8."/>
      <w:lvlJc w:val="left"/>
      <w:pPr>
        <w:ind w:left="7178" w:hanging="360"/>
      </w:pPr>
    </w:lvl>
    <w:lvl w:ilvl="8" w:tplc="AD729626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A3"/>
    <w:rsid w:val="002F7A67"/>
    <w:rsid w:val="0047770B"/>
    <w:rsid w:val="00514B2F"/>
    <w:rsid w:val="00A10E11"/>
    <w:rsid w:val="00B56FA3"/>
    <w:rsid w:val="00CD5A61"/>
    <w:rsid w:val="00FB5BD8"/>
    <w:rsid w:val="00F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D7FB"/>
  <w15:chartTrackingRefBased/>
  <w15:docId w15:val="{3A5BB57D-FFF4-4794-A85D-9E0452F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D8"/>
    <w:pPr>
      <w:spacing w:after="0" w:line="240" w:lineRule="auto"/>
      <w:ind w:left="720" w:firstLine="709"/>
      <w:contextualSpacing/>
    </w:pPr>
    <w:rPr>
      <w:rFonts w:ascii="Calibri" w:eastAsia="Calibri" w:hAnsi="Calibri" w:cs="Times New Roman"/>
      <w:sz w:val="22"/>
    </w:rPr>
  </w:style>
  <w:style w:type="paragraph" w:customStyle="1" w:styleId="Default">
    <w:name w:val="Default"/>
    <w:rsid w:val="00514B2F"/>
    <w:pPr>
      <w:spacing w:after="0" w:line="240" w:lineRule="auto"/>
      <w:ind w:firstLine="709"/>
    </w:pPr>
    <w:rPr>
      <w:rFonts w:eastAsia="Calibri" w:cs="Times New Roman"/>
      <w:color w:val="000000"/>
      <w:sz w:val="24"/>
      <w:szCs w:val="24"/>
      <w:lang w:eastAsia="ru-RU"/>
    </w:rPr>
  </w:style>
  <w:style w:type="character" w:customStyle="1" w:styleId="a4">
    <w:name w:val="Основной текст Знак"/>
    <w:link w:val="a5"/>
    <w:rsid w:val="00514B2F"/>
    <w:rPr>
      <w:rFonts w:ascii="Calibri" w:hAnsi="Calibri" w:cs="Calibri"/>
      <w:shd w:val="clear" w:color="auto" w:fill="FFFFFF"/>
    </w:rPr>
  </w:style>
  <w:style w:type="paragraph" w:styleId="a5">
    <w:name w:val="Body Text"/>
    <w:basedOn w:val="a"/>
    <w:link w:val="a4"/>
    <w:rsid w:val="00514B2F"/>
    <w:pPr>
      <w:widowControl w:val="0"/>
      <w:shd w:val="clear" w:color="auto" w:fill="FFFFFF"/>
      <w:spacing w:after="780" w:line="298" w:lineRule="exact"/>
      <w:ind w:hanging="1600"/>
    </w:pPr>
    <w:rPr>
      <w:rFonts w:ascii="Calibri" w:hAnsi="Calibri" w:cs="Calibri"/>
    </w:rPr>
  </w:style>
  <w:style w:type="character" w:customStyle="1" w:styleId="1">
    <w:name w:val="Основной текст Знак1"/>
    <w:basedOn w:val="a0"/>
    <w:uiPriority w:val="99"/>
    <w:semiHidden/>
    <w:rsid w:val="0051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Селитраров</dc:creator>
  <cp:keywords/>
  <dc:description/>
  <cp:lastModifiedBy>Артем Селитраров</cp:lastModifiedBy>
  <cp:revision>4</cp:revision>
  <dcterms:created xsi:type="dcterms:W3CDTF">2023-08-21T20:00:00Z</dcterms:created>
  <dcterms:modified xsi:type="dcterms:W3CDTF">2023-08-22T06:49:00Z</dcterms:modified>
</cp:coreProperties>
</file>