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6DD8" w14:textId="77777777" w:rsidR="00390FA7" w:rsidRDefault="00390FA7"/>
    <w:p w14:paraId="68C6DA72" w14:textId="77777777" w:rsidR="00390FA7" w:rsidRDefault="00390FA7"/>
    <w:p w14:paraId="2FB74598" w14:textId="77777777" w:rsidR="00390FA7" w:rsidRDefault="00390FA7"/>
    <w:p w14:paraId="24F5AD90" w14:textId="77777777" w:rsidR="00390FA7" w:rsidRDefault="00390FA7"/>
    <w:p w14:paraId="001042E3" w14:textId="77777777" w:rsidR="00390FA7" w:rsidRPr="00D8689D" w:rsidRDefault="00000000">
      <w:pPr>
        <w:rPr>
          <w:lang w:val="pt-BR"/>
        </w:rPr>
      </w:pPr>
      <w:r w:rsidRPr="00D8689D">
        <w:rPr>
          <w:b/>
          <w:color w:val="6A1B9A"/>
          <w:sz w:val="56"/>
          <w:lang w:val="pt-BR"/>
        </w:rPr>
        <w:t>Relatório Técnico de Avaliação</w:t>
      </w:r>
    </w:p>
    <w:p w14:paraId="0AE29C37" w14:textId="77777777" w:rsidR="00390FA7" w:rsidRPr="00D8689D" w:rsidRDefault="00000000">
      <w:pPr>
        <w:rPr>
          <w:lang w:val="pt-BR"/>
        </w:rPr>
      </w:pPr>
      <w:r w:rsidRPr="00D8689D">
        <w:rPr>
          <w:b/>
          <w:color w:val="555555"/>
          <w:sz w:val="36"/>
          <w:lang w:val="pt-BR"/>
        </w:rPr>
        <w:t>Inconsistências de Design e Funcionamento</w:t>
      </w:r>
    </w:p>
    <w:p w14:paraId="328FA1BB" w14:textId="77777777" w:rsidR="00390FA7" w:rsidRPr="00D8689D" w:rsidRDefault="00000000">
      <w:pPr>
        <w:rPr>
          <w:lang w:val="pt-BR"/>
        </w:rPr>
      </w:pPr>
      <w:r w:rsidRPr="00D8689D">
        <w:rPr>
          <w:color w:val="444444"/>
          <w:sz w:val="26"/>
          <w:lang w:val="pt-BR"/>
        </w:rPr>
        <w:t>Ambiente avaliado: staging.loccus.com.br</w:t>
      </w:r>
    </w:p>
    <w:p w14:paraId="4B3C4976" w14:textId="77777777" w:rsidR="00390FA7" w:rsidRPr="00D8689D" w:rsidRDefault="00390FA7">
      <w:pPr>
        <w:rPr>
          <w:lang w:val="pt-BR"/>
        </w:rPr>
      </w:pPr>
    </w:p>
    <w:p w14:paraId="50FF5280" w14:textId="77777777" w:rsidR="00390FA7" w:rsidRPr="00D8689D" w:rsidRDefault="00000000">
      <w:pPr>
        <w:rPr>
          <w:lang w:val="pt-BR"/>
        </w:rPr>
      </w:pPr>
      <w:r w:rsidRPr="00D8689D">
        <w:rPr>
          <w:lang w:val="pt-BR"/>
        </w:rPr>
        <w:br w:type="page"/>
      </w:r>
    </w:p>
    <w:p w14:paraId="6E0CCB71" w14:textId="77777777" w:rsidR="00390FA7" w:rsidRPr="00D8689D" w:rsidRDefault="00000000">
      <w:pPr>
        <w:rPr>
          <w:lang w:val="pt-BR"/>
        </w:rPr>
      </w:pPr>
      <w:r w:rsidRPr="00D8689D">
        <w:rPr>
          <w:b/>
          <w:color w:val="6A1B9A"/>
          <w:sz w:val="32"/>
          <w:lang w:val="pt-BR"/>
        </w:rPr>
        <w:lastRenderedPageBreak/>
        <w:t>1. Resumo Executivo</w:t>
      </w:r>
    </w:p>
    <w:p w14:paraId="35CAE064" w14:textId="4B4DB5FE" w:rsidR="00390FA7" w:rsidRPr="00D8689D" w:rsidRDefault="00000000" w:rsidP="00D8689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8689D">
        <w:rPr>
          <w:rFonts w:ascii="Arial" w:hAnsi="Arial" w:cs="Arial"/>
          <w:sz w:val="24"/>
          <w:szCs w:val="24"/>
          <w:lang w:val="pt-BR"/>
        </w:rPr>
        <w:t>Esta avaliação verificou o site em ambiente de homologação (staging.loccus.com.br) quanto a inconsistências de design e de funcionamento. No total foram consolidados 22 apontamentos, organizados em dois blocos: 12 achados técnicos (conteúdo, internacionalização, funcionamento e SEO) e 10 apontamentos de experiência do usuário (UX) levantados pela equipe.</w:t>
      </w:r>
      <w:r w:rsidR="00D8689D">
        <w:rPr>
          <w:rFonts w:ascii="Arial" w:hAnsi="Arial" w:cs="Arial"/>
          <w:sz w:val="24"/>
          <w:szCs w:val="24"/>
          <w:lang w:val="pt-BR"/>
        </w:rPr>
        <w:t xml:space="preserve"> B</w:t>
      </w:r>
      <w:r w:rsidRPr="00D8689D">
        <w:rPr>
          <w:rFonts w:ascii="Arial" w:hAnsi="Arial" w:cs="Arial"/>
          <w:sz w:val="24"/>
          <w:szCs w:val="24"/>
          <w:lang w:val="pt-BR"/>
        </w:rPr>
        <w:t xml:space="preserve">anner de site de desenvolvimento do WPML, variáveis de </w:t>
      </w:r>
      <w:proofErr w:type="spellStart"/>
      <w:r w:rsidRPr="00D8689D">
        <w:rPr>
          <w:rFonts w:ascii="Arial" w:hAnsi="Arial" w:cs="Arial"/>
          <w:sz w:val="24"/>
          <w:szCs w:val="24"/>
          <w:lang w:val="pt-BR"/>
        </w:rPr>
        <w:t>template</w:t>
      </w:r>
      <w:proofErr w:type="spellEnd"/>
      <w:r w:rsidRPr="00D8689D">
        <w:rPr>
          <w:rFonts w:ascii="Arial" w:hAnsi="Arial" w:cs="Arial"/>
          <w:sz w:val="24"/>
          <w:szCs w:val="24"/>
          <w:lang w:val="pt-BR"/>
        </w:rPr>
        <w:t xml:space="preserve"> não renderizadas no aviso de cookies e tradução incompleta da versão em inglês. Em UX, destacam-se legibilidade prejudicada por efeito </w:t>
      </w:r>
      <w:proofErr w:type="spellStart"/>
      <w:r w:rsidRPr="00D8689D">
        <w:rPr>
          <w:rFonts w:ascii="Arial" w:hAnsi="Arial" w:cs="Arial"/>
          <w:sz w:val="24"/>
          <w:szCs w:val="24"/>
          <w:lang w:val="pt-BR"/>
        </w:rPr>
        <w:t>blur</w:t>
      </w:r>
      <w:proofErr w:type="spellEnd"/>
      <w:r w:rsidRPr="00D8689D">
        <w:rPr>
          <w:rFonts w:ascii="Arial" w:hAnsi="Arial" w:cs="Arial"/>
          <w:sz w:val="24"/>
          <w:szCs w:val="24"/>
          <w:lang w:val="pt-BR"/>
        </w:rPr>
        <w:t>, proporção inconsistente das imagens de produto, botões sem mudança de estado e pop-up exibido cedo demais.</w:t>
      </w:r>
    </w:p>
    <w:p w14:paraId="344519C2" w14:textId="77777777" w:rsidR="00390FA7" w:rsidRPr="00D8689D" w:rsidRDefault="00000000">
      <w:pPr>
        <w:rPr>
          <w:lang w:val="pt-BR"/>
        </w:rPr>
      </w:pPr>
      <w:r w:rsidRPr="00D8689D">
        <w:rPr>
          <w:lang w:val="pt-BR"/>
        </w:rPr>
        <w:br w:type="page"/>
      </w:r>
    </w:p>
    <w:p w14:paraId="59F9EFA2" w14:textId="77777777" w:rsidR="00390FA7" w:rsidRPr="00D8689D" w:rsidRDefault="00000000">
      <w:pPr>
        <w:rPr>
          <w:lang w:val="pt-BR"/>
        </w:rPr>
      </w:pPr>
      <w:r w:rsidRPr="00D8689D">
        <w:rPr>
          <w:b/>
          <w:color w:val="6A1B9A"/>
          <w:sz w:val="32"/>
          <w:lang w:val="pt-BR"/>
        </w:rPr>
        <w:lastRenderedPageBreak/>
        <w:t>3. Achados Técnicos</w:t>
      </w:r>
    </w:p>
    <w:p w14:paraId="423E0134" w14:textId="68E1A376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3.</w:t>
      </w:r>
      <w:r w:rsidR="00D8689D">
        <w:rPr>
          <w:b/>
          <w:color w:val="222222"/>
          <w:sz w:val="25"/>
          <w:lang w:val="pt-BR"/>
        </w:rPr>
        <w:t>1</w:t>
      </w:r>
      <w:r w:rsidRPr="00D8689D">
        <w:rPr>
          <w:b/>
          <w:color w:val="222222"/>
          <w:sz w:val="25"/>
          <w:lang w:val="pt-BR"/>
        </w:rPr>
        <w:t xml:space="preserve">  Tradução incompleta da versão em inglês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9"/>
        <w:gridCol w:w="7187"/>
      </w:tblGrid>
      <w:tr w:rsidR="00390FA7" w14:paraId="30F34A48" w14:textId="77777777">
        <w:tc>
          <w:tcPr>
            <w:tcW w:w="1701" w:type="dxa"/>
            <w:shd w:val="clear" w:color="auto" w:fill="EF6C00"/>
          </w:tcPr>
          <w:p w14:paraId="5FC10C4B" w14:textId="77777777" w:rsidR="00390FA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MÉDIA</w:t>
            </w:r>
          </w:p>
        </w:tc>
        <w:tc>
          <w:tcPr>
            <w:tcW w:w="7370" w:type="dxa"/>
          </w:tcPr>
          <w:p w14:paraId="0C018260" w14:textId="77777777" w:rsidR="00390FA7" w:rsidRDefault="00000000">
            <w:r>
              <w:rPr>
                <w:sz w:val="20"/>
              </w:rPr>
              <w:t>Categoria: Internacionalização (i18n)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0"/>
        <w:gridCol w:w="7166"/>
      </w:tblGrid>
      <w:tr w:rsidR="00390FA7" w:rsidRPr="00D8689D" w14:paraId="48BCBCEF" w14:textId="77777777">
        <w:tc>
          <w:tcPr>
            <w:tcW w:w="1701" w:type="dxa"/>
            <w:shd w:val="clear" w:color="auto" w:fill="EDE7F0"/>
          </w:tcPr>
          <w:p w14:paraId="007588D9" w14:textId="77777777" w:rsidR="00390FA7" w:rsidRDefault="00000000">
            <w:r>
              <w:rPr>
                <w:b/>
                <w:color w:val="444444"/>
                <w:sz w:val="18"/>
              </w:rPr>
              <w:t>Descrição</w:t>
            </w:r>
          </w:p>
        </w:tc>
        <w:tc>
          <w:tcPr>
            <w:tcW w:w="7370" w:type="dxa"/>
          </w:tcPr>
          <w:p w14:paraId="380F9465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Na versão em inglês (?</w:t>
            </w:r>
            <w:proofErr w:type="spellStart"/>
            <w:r w:rsidRPr="00D8689D">
              <w:rPr>
                <w:sz w:val="20"/>
                <w:lang w:val="pt-BR"/>
              </w:rPr>
              <w:t>lang</w:t>
            </w:r>
            <w:proofErr w:type="spellEnd"/>
            <w:r w:rsidRPr="00D8689D">
              <w:rPr>
                <w:sz w:val="20"/>
                <w:lang w:val="pt-BR"/>
              </w:rPr>
              <w:t>=</w:t>
            </w:r>
            <w:proofErr w:type="spellStart"/>
            <w:r w:rsidRPr="00D8689D">
              <w:rPr>
                <w:sz w:val="20"/>
                <w:lang w:val="pt-BR"/>
              </w:rPr>
              <w:t>en</w:t>
            </w:r>
            <w:proofErr w:type="spellEnd"/>
            <w:r w:rsidRPr="00D8689D">
              <w:rPr>
                <w:sz w:val="20"/>
                <w:lang w:val="pt-BR"/>
              </w:rPr>
              <w:t>), diversos blocos permanecem em português.</w:t>
            </w:r>
          </w:p>
        </w:tc>
      </w:tr>
      <w:tr w:rsidR="00390FA7" w:rsidRPr="00D8689D" w14:paraId="12257DCC" w14:textId="77777777">
        <w:tc>
          <w:tcPr>
            <w:tcW w:w="1701" w:type="dxa"/>
            <w:shd w:val="clear" w:color="auto" w:fill="EDE7F0"/>
          </w:tcPr>
          <w:p w14:paraId="0BA904C1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Evidência</w:t>
            </w:r>
            <w:proofErr w:type="spellEnd"/>
          </w:p>
        </w:tc>
        <w:tc>
          <w:tcPr>
            <w:tcW w:w="7370" w:type="dxa"/>
          </w:tcPr>
          <w:p w14:paraId="6E28111D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Confirmado: bloco Newsletter (“Newsletter” / “Cadastre-se e receba nossas informações” / “Inscreva-se”), cabeçalho “Contato” no rodapé, “Loccus® - Todos os direitos reservados.” e botão “LEIA MAIS” do blog.</w:t>
            </w:r>
          </w:p>
        </w:tc>
      </w:tr>
      <w:tr w:rsidR="00390FA7" w:rsidRPr="00D8689D" w14:paraId="28D8B4B1" w14:textId="77777777">
        <w:tc>
          <w:tcPr>
            <w:tcW w:w="1701" w:type="dxa"/>
            <w:shd w:val="clear" w:color="auto" w:fill="EDE7F0"/>
          </w:tcPr>
          <w:p w14:paraId="4357C31E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18E51EBB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 xml:space="preserve">Completar as </w:t>
            </w:r>
            <w:proofErr w:type="spellStart"/>
            <w:r w:rsidRPr="00D8689D">
              <w:rPr>
                <w:sz w:val="20"/>
                <w:lang w:val="pt-BR"/>
              </w:rPr>
              <w:t>strings</w:t>
            </w:r>
            <w:proofErr w:type="spellEnd"/>
            <w:r w:rsidRPr="00D8689D">
              <w:rPr>
                <w:sz w:val="20"/>
                <w:lang w:val="pt-BR"/>
              </w:rPr>
              <w:t xml:space="preserve"> de tradução (WPML), incluindo widgets de rodapé, newsletter e rótulos de botões.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90FA7" w:rsidRPr="00D8689D" w14:paraId="57265A3C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280EB444" w14:textId="7C5C122E" w:rsidR="00390FA7" w:rsidRPr="00D8689D" w:rsidRDefault="00D8689D">
            <w:pPr>
              <w:jc w:val="center"/>
              <w:rPr>
                <w:lang w:val="pt-BR"/>
              </w:rPr>
            </w:pPr>
            <w:r w:rsidRPr="00D8689D">
              <w:rPr>
                <w:b/>
                <w:color w:val="888888"/>
                <w:lang w:val="pt-BR"/>
              </w:rPr>
              <w:drawing>
                <wp:inline distT="0" distB="0" distL="0" distR="0" wp14:anchorId="73327AA3" wp14:editId="7297B47A">
                  <wp:extent cx="5486400" cy="2706370"/>
                  <wp:effectExtent l="0" t="0" r="0" b="0"/>
                  <wp:docPr id="14900571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571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D8689D">
              <w:rPr>
                <w:i/>
                <w:color w:val="444444"/>
                <w:sz w:val="18"/>
                <w:lang w:val="pt-BR"/>
              </w:rPr>
              <w:t>Versão EN com bloco Newsletter ainda em português.</w:t>
            </w:r>
          </w:p>
        </w:tc>
      </w:tr>
    </w:tbl>
    <w:p w14:paraId="75609F36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Versão EN com bloco Newsletter ainda em português.</w:t>
      </w:r>
    </w:p>
    <w:p w14:paraId="16C8DEA5" w14:textId="77777777" w:rsidR="00390FA7" w:rsidRPr="00D8689D" w:rsidRDefault="00390FA7">
      <w:pPr>
        <w:rPr>
          <w:lang w:val="pt-BR"/>
        </w:rPr>
      </w:pPr>
    </w:p>
    <w:p w14:paraId="33121584" w14:textId="370CC42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3.</w:t>
      </w:r>
      <w:r w:rsidR="00D8689D">
        <w:rPr>
          <w:b/>
          <w:color w:val="222222"/>
          <w:sz w:val="25"/>
          <w:lang w:val="pt-BR"/>
        </w:rPr>
        <w:t>2</w:t>
      </w:r>
      <w:r w:rsidRPr="00D8689D">
        <w:rPr>
          <w:b/>
          <w:color w:val="222222"/>
          <w:sz w:val="25"/>
          <w:lang w:val="pt-BR"/>
        </w:rPr>
        <w:t xml:space="preserve">  Defeito de layout no formulário de contato ao validar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72"/>
        <w:gridCol w:w="7184"/>
      </w:tblGrid>
      <w:tr w:rsidR="00390FA7" w14:paraId="563CFA5E" w14:textId="77777777">
        <w:tc>
          <w:tcPr>
            <w:tcW w:w="1701" w:type="dxa"/>
            <w:shd w:val="clear" w:color="auto" w:fill="EF6C00"/>
          </w:tcPr>
          <w:p w14:paraId="57D03DEC" w14:textId="77777777" w:rsidR="00390FA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MÉDIA</w:t>
            </w:r>
          </w:p>
        </w:tc>
        <w:tc>
          <w:tcPr>
            <w:tcW w:w="7370" w:type="dxa"/>
          </w:tcPr>
          <w:p w14:paraId="6AE45FD2" w14:textId="77777777" w:rsidR="00390FA7" w:rsidRDefault="00000000">
            <w:r>
              <w:rPr>
                <w:sz w:val="20"/>
              </w:rPr>
              <w:t>Categoria: Funcional / UI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:rsidRPr="00D8689D" w14:paraId="2939E22C" w14:textId="77777777">
        <w:tc>
          <w:tcPr>
            <w:tcW w:w="1701" w:type="dxa"/>
            <w:shd w:val="clear" w:color="auto" w:fill="EDE7F0"/>
          </w:tcPr>
          <w:p w14:paraId="7C5DC462" w14:textId="77777777" w:rsidR="00390FA7" w:rsidRDefault="00000000">
            <w:r>
              <w:rPr>
                <w:b/>
                <w:color w:val="444444"/>
                <w:sz w:val="18"/>
              </w:rPr>
              <w:t>Descrição</w:t>
            </w:r>
          </w:p>
        </w:tc>
        <w:tc>
          <w:tcPr>
            <w:tcW w:w="7370" w:type="dxa"/>
          </w:tcPr>
          <w:p w14:paraId="3443D472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Ao submeter o formulário “Fale Conosco” com erro de validação, o botão ENVIAR é reposicionado para cima e fica sobreposto à seção “Intenção”. A validação destacou apenas o telefone, sem marcar os campos obrigatórios Nome e E-mail.</w:t>
            </w:r>
          </w:p>
        </w:tc>
      </w:tr>
      <w:tr w:rsidR="00390FA7" w:rsidRPr="00D8689D" w14:paraId="04F555A5" w14:textId="77777777">
        <w:tc>
          <w:tcPr>
            <w:tcW w:w="1701" w:type="dxa"/>
            <w:shd w:val="clear" w:color="auto" w:fill="EDE7F0"/>
          </w:tcPr>
          <w:p w14:paraId="2CA673C6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Evidência</w:t>
            </w:r>
            <w:proofErr w:type="spellEnd"/>
          </w:p>
        </w:tc>
        <w:tc>
          <w:tcPr>
            <w:tcW w:w="7370" w:type="dxa"/>
          </w:tcPr>
          <w:p w14:paraId="08B438D7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Confirmado em teste de submissão em branco: “Digite um número de telefone.” e “Um ou mais campos possuem um erro...”, com o botão sobreposto.</w:t>
            </w:r>
          </w:p>
        </w:tc>
      </w:tr>
      <w:tr w:rsidR="00390FA7" w:rsidRPr="00D8689D" w14:paraId="566A7660" w14:textId="77777777">
        <w:tc>
          <w:tcPr>
            <w:tcW w:w="1701" w:type="dxa"/>
            <w:shd w:val="clear" w:color="auto" w:fill="EDE7F0"/>
          </w:tcPr>
          <w:p w14:paraId="52E33DA2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72C04D82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 xml:space="preserve">Corrigir o CSS das mensagens de erro (evitar </w:t>
            </w:r>
            <w:proofErr w:type="spellStart"/>
            <w:r w:rsidRPr="00D8689D">
              <w:rPr>
                <w:sz w:val="20"/>
                <w:lang w:val="pt-BR"/>
              </w:rPr>
              <w:t>reflow</w:t>
            </w:r>
            <w:proofErr w:type="spellEnd"/>
            <w:r w:rsidRPr="00D8689D">
              <w:rPr>
                <w:sz w:val="20"/>
                <w:lang w:val="pt-BR"/>
              </w:rPr>
              <w:t xml:space="preserve"> que sobrepõe elementos) e validar todos os campos obrigatórios.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90FA7" w:rsidRPr="00D8689D" w14:paraId="13E800EA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7E9ACE44" w14:textId="4F6D0079" w:rsidR="00390FA7" w:rsidRPr="00D8689D" w:rsidRDefault="00D8689D">
            <w:pPr>
              <w:jc w:val="center"/>
              <w:rPr>
                <w:lang w:val="pt-BR"/>
              </w:rPr>
            </w:pPr>
            <w:r w:rsidRPr="00D8689D">
              <w:rPr>
                <w:b/>
                <w:color w:val="888888"/>
                <w:lang w:val="pt-BR"/>
              </w:rPr>
              <w:lastRenderedPageBreak/>
              <w:drawing>
                <wp:inline distT="0" distB="0" distL="0" distR="0" wp14:anchorId="23B7FAE6" wp14:editId="64211455">
                  <wp:extent cx="5486400" cy="3688080"/>
                  <wp:effectExtent l="0" t="0" r="0" b="7620"/>
                  <wp:docPr id="13208737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8737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8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D8689D">
              <w:rPr>
                <w:i/>
                <w:color w:val="444444"/>
                <w:sz w:val="18"/>
                <w:lang w:val="pt-BR"/>
              </w:rPr>
              <w:t>Formulário com botão ENVIAR sobreposto após erro.</w:t>
            </w:r>
          </w:p>
        </w:tc>
      </w:tr>
    </w:tbl>
    <w:p w14:paraId="4677CE60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Formulário com botão ENVIAR sobreposto após erro.</w:t>
      </w:r>
    </w:p>
    <w:p w14:paraId="0623FEBF" w14:textId="77777777" w:rsidR="00390FA7" w:rsidRPr="00D8689D" w:rsidRDefault="00390FA7">
      <w:pPr>
        <w:rPr>
          <w:lang w:val="pt-BR"/>
        </w:rPr>
      </w:pPr>
    </w:p>
    <w:p w14:paraId="2DF08C93" w14:textId="77777777" w:rsidR="00390FA7" w:rsidRPr="00D8689D" w:rsidRDefault="00000000">
      <w:pPr>
        <w:rPr>
          <w:lang w:val="pt-BR"/>
        </w:rPr>
      </w:pPr>
      <w:r w:rsidRPr="00D8689D">
        <w:rPr>
          <w:lang w:val="pt-BR"/>
        </w:rPr>
        <w:br w:type="page"/>
      </w:r>
    </w:p>
    <w:p w14:paraId="004DBD2C" w14:textId="77777777" w:rsidR="00390FA7" w:rsidRPr="00D8689D" w:rsidRDefault="00000000">
      <w:pPr>
        <w:rPr>
          <w:lang w:val="pt-BR"/>
        </w:rPr>
      </w:pPr>
      <w:r w:rsidRPr="00D8689D">
        <w:rPr>
          <w:b/>
          <w:color w:val="6A1B9A"/>
          <w:sz w:val="32"/>
          <w:lang w:val="pt-BR"/>
        </w:rPr>
        <w:lastRenderedPageBreak/>
        <w:t>4. Apontamentos de UX (Revisão da Equipe)</w:t>
      </w:r>
    </w:p>
    <w:p w14:paraId="415EE553" w14:textId="77777777" w:rsidR="00390FA7" w:rsidRPr="00D8689D" w:rsidRDefault="00000000" w:rsidP="00D8689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8689D">
        <w:rPr>
          <w:rFonts w:ascii="Arial" w:hAnsi="Arial" w:cs="Arial"/>
          <w:sz w:val="24"/>
          <w:szCs w:val="24"/>
          <w:lang w:val="pt-BR"/>
        </w:rPr>
        <w:t>Esta seção consolida os apontamentos de experiência do usuário levantados pela equipe durante a navegação, com a respectiva captura de tela (a inserir) e a recomendação sugerida.</w:t>
      </w:r>
    </w:p>
    <w:p w14:paraId="70907EA9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4.1  Dois ícones com a mesma função no header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14:paraId="06DDB774" w14:textId="77777777">
        <w:tc>
          <w:tcPr>
            <w:tcW w:w="1701" w:type="dxa"/>
            <w:shd w:val="clear" w:color="auto" w:fill="EDE7F0"/>
          </w:tcPr>
          <w:p w14:paraId="72581BFE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Categoria</w:t>
            </w:r>
            <w:proofErr w:type="spellEnd"/>
          </w:p>
        </w:tc>
        <w:tc>
          <w:tcPr>
            <w:tcW w:w="7370" w:type="dxa"/>
          </w:tcPr>
          <w:p w14:paraId="3936D031" w14:textId="77777777" w:rsidR="00390FA7" w:rsidRDefault="00000000">
            <w:r>
              <w:rPr>
                <w:sz w:val="20"/>
              </w:rPr>
              <w:t>UX / Redundância</w:t>
            </w:r>
          </w:p>
        </w:tc>
      </w:tr>
      <w:tr w:rsidR="00390FA7" w:rsidRPr="00D8689D" w14:paraId="416B883B" w14:textId="77777777">
        <w:tc>
          <w:tcPr>
            <w:tcW w:w="1701" w:type="dxa"/>
            <w:shd w:val="clear" w:color="auto" w:fill="EDE7F0"/>
          </w:tcPr>
          <w:p w14:paraId="02D393D8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09DB6983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Os ícones de “pessoa” e de “documento” no cabeçalho parecem apontar para a mesma função, gerando redundância e confusão.</w:t>
            </w:r>
          </w:p>
        </w:tc>
      </w:tr>
      <w:tr w:rsidR="00390FA7" w14:paraId="1CA53781" w14:textId="77777777">
        <w:tc>
          <w:tcPr>
            <w:tcW w:w="1701" w:type="dxa"/>
            <w:shd w:val="clear" w:color="auto" w:fill="EDE7F0"/>
          </w:tcPr>
          <w:p w14:paraId="55560E66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61733AD7" w14:textId="77777777" w:rsidR="00390FA7" w:rsidRDefault="00000000">
            <w:r w:rsidRPr="00D8689D">
              <w:rPr>
                <w:sz w:val="20"/>
                <w:lang w:val="pt-BR"/>
              </w:rPr>
              <w:t xml:space="preserve">Unificar em um único ícone ou diferenciar claramente as funções (ex.: “Minha conta” vs. </w:t>
            </w:r>
            <w:r>
              <w:rPr>
                <w:sz w:val="20"/>
              </w:rPr>
              <w:t xml:space="preserve">“Meu </w:t>
            </w:r>
            <w:proofErr w:type="spellStart"/>
            <w:r>
              <w:rPr>
                <w:sz w:val="20"/>
              </w:rPr>
              <w:t>orçamento</w:t>
            </w:r>
            <w:proofErr w:type="spellEnd"/>
            <w:r>
              <w:rPr>
                <w:sz w:val="20"/>
              </w:rPr>
              <w:t xml:space="preserve">”) com </w:t>
            </w:r>
            <w:proofErr w:type="spellStart"/>
            <w:r>
              <w:rPr>
                <w:sz w:val="20"/>
              </w:rPr>
              <w:t>rótulos</w:t>
            </w:r>
            <w:proofErr w:type="spellEnd"/>
            <w:r>
              <w:rPr>
                <w:sz w:val="20"/>
              </w:rPr>
              <w:t>/tooltips.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390FA7" w:rsidRPr="00D8689D" w14:paraId="3EBFC440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6BE003B2" w14:textId="480EB577" w:rsidR="00D8689D" w:rsidRPr="00D8689D" w:rsidRDefault="00D8689D" w:rsidP="00D8689D">
            <w:pPr>
              <w:jc w:val="center"/>
              <w:rPr>
                <w:b/>
                <w:color w:val="888888"/>
                <w:lang w:val="pt-BR"/>
              </w:rPr>
            </w:pPr>
            <w:r w:rsidRPr="00D8689D">
              <w:rPr>
                <w:b/>
                <w:color w:val="888888"/>
                <w:lang w:val="pt-BR"/>
              </w:rPr>
              <w:drawing>
                <wp:inline distT="0" distB="0" distL="0" distR="0" wp14:anchorId="7EE32A70" wp14:editId="652E9B75">
                  <wp:extent cx="838200" cy="457200"/>
                  <wp:effectExtent l="0" t="0" r="0" b="0"/>
                  <wp:docPr id="121788839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5F6558" w14:textId="77777777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>Header com os dois ícones (pessoa + documento).</w:t>
            </w:r>
          </w:p>
        </w:tc>
      </w:tr>
    </w:tbl>
    <w:p w14:paraId="5DD89893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Header com os dois ícones (pessoa + documento).</w:t>
      </w:r>
    </w:p>
    <w:p w14:paraId="59622AA0" w14:textId="77777777" w:rsidR="00390FA7" w:rsidRPr="00D8689D" w:rsidRDefault="00390FA7">
      <w:pPr>
        <w:rPr>
          <w:lang w:val="pt-BR"/>
        </w:rPr>
      </w:pPr>
    </w:p>
    <w:p w14:paraId="260A1332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4.2  Esquema “Fluxo de Trabalho” – botão sem mudança de estado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7"/>
        <w:gridCol w:w="7169"/>
      </w:tblGrid>
      <w:tr w:rsidR="00390FA7" w14:paraId="2A1609EC" w14:textId="77777777">
        <w:tc>
          <w:tcPr>
            <w:tcW w:w="1701" w:type="dxa"/>
            <w:shd w:val="clear" w:color="auto" w:fill="EDE7F0"/>
          </w:tcPr>
          <w:p w14:paraId="6B8F1B2F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Categoria</w:t>
            </w:r>
            <w:proofErr w:type="spellEnd"/>
          </w:p>
        </w:tc>
        <w:tc>
          <w:tcPr>
            <w:tcW w:w="7370" w:type="dxa"/>
          </w:tcPr>
          <w:p w14:paraId="6C12D8DA" w14:textId="77777777" w:rsidR="00390FA7" w:rsidRDefault="00000000">
            <w:r>
              <w:rPr>
                <w:sz w:val="20"/>
              </w:rPr>
              <w:t>UI / Estado de componente</w:t>
            </w:r>
          </w:p>
        </w:tc>
      </w:tr>
      <w:tr w:rsidR="00390FA7" w:rsidRPr="00D8689D" w14:paraId="7641818A" w14:textId="77777777">
        <w:tc>
          <w:tcPr>
            <w:tcW w:w="1701" w:type="dxa"/>
            <w:shd w:val="clear" w:color="auto" w:fill="EDE7F0"/>
          </w:tcPr>
          <w:p w14:paraId="2A877DC6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2AF0E302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O esquema interativo (Preparação/Extração/etc.) não foi bem avaliado; em especial, o botão/etapa ativa não muda de estado, apenas exibe uma linha embaixo, dificultando a percepção de seleção.</w:t>
            </w:r>
          </w:p>
        </w:tc>
      </w:tr>
      <w:tr w:rsidR="00390FA7" w14:paraId="41946B99" w14:textId="77777777">
        <w:tc>
          <w:tcPr>
            <w:tcW w:w="1701" w:type="dxa"/>
            <w:shd w:val="clear" w:color="auto" w:fill="EDE7F0"/>
          </w:tcPr>
          <w:p w14:paraId="4A1385B7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69FD9D9C" w14:textId="77777777" w:rsidR="00390FA7" w:rsidRDefault="00000000">
            <w:r w:rsidRPr="00D8689D">
              <w:rPr>
                <w:sz w:val="20"/>
                <w:lang w:val="pt-BR"/>
              </w:rPr>
              <w:t xml:space="preserve">Revisar o componente; aplicar estado ativo claro (cor de fundo, contraste, destaque) em vez de apenas sublinhado. </w:t>
            </w:r>
            <w:proofErr w:type="spellStart"/>
            <w:r>
              <w:rPr>
                <w:sz w:val="20"/>
              </w:rPr>
              <w:t>Avaliar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redesenho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esquema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390FA7" w:rsidRPr="00D8689D" w14:paraId="204581A4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78B71062" w14:textId="77777777" w:rsidR="002E3221" w:rsidRDefault="002E3221">
            <w:pPr>
              <w:jc w:val="center"/>
              <w:rPr>
                <w:i/>
                <w:color w:val="444444"/>
                <w:sz w:val="18"/>
                <w:lang w:val="pt-BR"/>
              </w:rPr>
            </w:pPr>
            <w:r w:rsidRPr="002E3221">
              <w:rPr>
                <w:b/>
                <w:color w:val="888888"/>
                <w:lang w:val="pt-BR"/>
              </w:rPr>
              <w:drawing>
                <wp:inline distT="0" distB="0" distL="0" distR="0" wp14:anchorId="3E937F11" wp14:editId="3B7E8139">
                  <wp:extent cx="1629002" cy="1114581"/>
                  <wp:effectExtent l="0" t="0" r="0" b="9525"/>
                  <wp:docPr id="1826598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598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13C" w14:textId="7F303D92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>Esquema “Fluxo de Trabalho” com etapa “Preparação” ativa.</w:t>
            </w:r>
          </w:p>
        </w:tc>
      </w:tr>
    </w:tbl>
    <w:p w14:paraId="258B3810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Esquema “Fluxo de Trabalho” com etapa “Preparação” ativa.</w:t>
      </w:r>
    </w:p>
    <w:p w14:paraId="68F27C3A" w14:textId="77777777" w:rsidR="00390FA7" w:rsidRPr="00D8689D" w:rsidRDefault="00390FA7">
      <w:pPr>
        <w:rPr>
          <w:lang w:val="pt-BR"/>
        </w:rPr>
      </w:pPr>
    </w:p>
    <w:p w14:paraId="3994A2AC" w14:textId="77777777" w:rsidR="00390FA7" w:rsidRDefault="00000000">
      <w:proofErr w:type="gramStart"/>
      <w:r>
        <w:rPr>
          <w:b/>
          <w:color w:val="222222"/>
          <w:sz w:val="25"/>
        </w:rPr>
        <w:t xml:space="preserve">4.3  </w:t>
      </w:r>
      <w:proofErr w:type="spellStart"/>
      <w:r>
        <w:rPr>
          <w:b/>
          <w:color w:val="222222"/>
          <w:sz w:val="25"/>
        </w:rPr>
        <w:t>Botão</w:t>
      </w:r>
      <w:proofErr w:type="spellEnd"/>
      <w:proofErr w:type="gramEnd"/>
      <w:r>
        <w:rPr>
          <w:b/>
          <w:color w:val="222222"/>
          <w:sz w:val="25"/>
        </w:rPr>
        <w:t xml:space="preserve"> “VEJA MAIS” desproporcional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14:paraId="5FD265FC" w14:textId="77777777">
        <w:tc>
          <w:tcPr>
            <w:tcW w:w="1701" w:type="dxa"/>
            <w:shd w:val="clear" w:color="auto" w:fill="EDE7F0"/>
          </w:tcPr>
          <w:p w14:paraId="16318604" w14:textId="77777777" w:rsidR="00390FA7" w:rsidRDefault="00000000">
            <w:r>
              <w:rPr>
                <w:b/>
                <w:color w:val="444444"/>
                <w:sz w:val="18"/>
              </w:rPr>
              <w:t>Categoria</w:t>
            </w:r>
          </w:p>
        </w:tc>
        <w:tc>
          <w:tcPr>
            <w:tcW w:w="7370" w:type="dxa"/>
          </w:tcPr>
          <w:p w14:paraId="04EEFFA7" w14:textId="77777777" w:rsidR="00390FA7" w:rsidRDefault="00000000">
            <w:r>
              <w:rPr>
                <w:sz w:val="20"/>
              </w:rPr>
              <w:t>UI / Proporção</w:t>
            </w:r>
          </w:p>
        </w:tc>
      </w:tr>
      <w:tr w:rsidR="00390FA7" w:rsidRPr="00D8689D" w14:paraId="14B9ED41" w14:textId="77777777">
        <w:tc>
          <w:tcPr>
            <w:tcW w:w="1701" w:type="dxa"/>
            <w:shd w:val="clear" w:color="auto" w:fill="EDE7F0"/>
          </w:tcPr>
          <w:p w14:paraId="259F56DB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6CD3CF05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 xml:space="preserve">O botão “VEJA MAIS” aparece grande demais e desconexo do contexto dos cards ao </w:t>
            </w:r>
            <w:r w:rsidRPr="00D8689D">
              <w:rPr>
                <w:sz w:val="20"/>
                <w:lang w:val="pt-BR"/>
              </w:rPr>
              <w:lastRenderedPageBreak/>
              <w:t>redor.</w:t>
            </w:r>
          </w:p>
        </w:tc>
      </w:tr>
      <w:tr w:rsidR="00390FA7" w:rsidRPr="00D8689D" w14:paraId="6B6296DD" w14:textId="77777777">
        <w:tc>
          <w:tcPr>
            <w:tcW w:w="1701" w:type="dxa"/>
            <w:shd w:val="clear" w:color="auto" w:fill="EDE7F0"/>
          </w:tcPr>
          <w:p w14:paraId="3BCF8299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lastRenderedPageBreak/>
              <w:t>Recomendação</w:t>
            </w:r>
            <w:proofErr w:type="spellEnd"/>
          </w:p>
        </w:tc>
        <w:tc>
          <w:tcPr>
            <w:tcW w:w="7370" w:type="dxa"/>
          </w:tcPr>
          <w:p w14:paraId="22D1F2F6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Ajustar o tamanho/peso do botão para harmonizar com os cards e a hierarquia visual da seção.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90FA7" w:rsidRPr="00D8689D" w14:paraId="10978DA8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54DF2B93" w14:textId="6F436DC9" w:rsidR="00390FA7" w:rsidRPr="00D8689D" w:rsidRDefault="002E3221">
            <w:pPr>
              <w:jc w:val="center"/>
              <w:rPr>
                <w:lang w:val="pt-BR"/>
              </w:rPr>
            </w:pPr>
            <w:r w:rsidRPr="002E3221">
              <w:rPr>
                <w:b/>
                <w:color w:val="888888"/>
                <w:lang w:val="pt-BR"/>
              </w:rPr>
              <w:drawing>
                <wp:inline distT="0" distB="0" distL="0" distR="0" wp14:anchorId="08D7A08C" wp14:editId="5336DD52">
                  <wp:extent cx="5486400" cy="2693035"/>
                  <wp:effectExtent l="0" t="0" r="0" b="0"/>
                  <wp:docPr id="17450087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087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D8689D">
              <w:rPr>
                <w:i/>
                <w:color w:val="444444"/>
                <w:sz w:val="18"/>
                <w:lang w:val="pt-BR"/>
              </w:rPr>
              <w:t>Seção de equipamentos com o botão “VEJA MAIS” grande.</w:t>
            </w:r>
          </w:p>
        </w:tc>
      </w:tr>
    </w:tbl>
    <w:p w14:paraId="2122250C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Seção de equipamentos com o botão “VEJA MAIS” grande.</w:t>
      </w:r>
    </w:p>
    <w:p w14:paraId="35F40DFC" w14:textId="77777777" w:rsidR="00390FA7" w:rsidRPr="00D8689D" w:rsidRDefault="00390FA7">
      <w:pPr>
        <w:rPr>
          <w:lang w:val="pt-BR"/>
        </w:rPr>
      </w:pPr>
    </w:p>
    <w:p w14:paraId="6EC9411B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 xml:space="preserve">4.4  Texto pouco legível sobre efeito </w:t>
      </w:r>
      <w:proofErr w:type="spellStart"/>
      <w:r w:rsidRPr="00D8689D">
        <w:rPr>
          <w:b/>
          <w:color w:val="222222"/>
          <w:sz w:val="25"/>
          <w:lang w:val="pt-BR"/>
        </w:rPr>
        <w:t>blur</w:t>
      </w:r>
      <w:proofErr w:type="spellEnd"/>
      <w:r w:rsidRPr="00D8689D">
        <w:rPr>
          <w:b/>
          <w:color w:val="222222"/>
          <w:sz w:val="25"/>
          <w:lang w:val="pt-BR"/>
        </w:rPr>
        <w:t xml:space="preserve"> (Sobre nós)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8"/>
        <w:gridCol w:w="7168"/>
      </w:tblGrid>
      <w:tr w:rsidR="00390FA7" w14:paraId="7A8F09B0" w14:textId="77777777">
        <w:tc>
          <w:tcPr>
            <w:tcW w:w="1701" w:type="dxa"/>
            <w:shd w:val="clear" w:color="auto" w:fill="EDE7F0"/>
          </w:tcPr>
          <w:p w14:paraId="39D38A5E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Categoria</w:t>
            </w:r>
            <w:proofErr w:type="spellEnd"/>
          </w:p>
        </w:tc>
        <w:tc>
          <w:tcPr>
            <w:tcW w:w="7370" w:type="dxa"/>
          </w:tcPr>
          <w:p w14:paraId="036FFECF" w14:textId="77777777" w:rsidR="00390FA7" w:rsidRDefault="00000000">
            <w:r>
              <w:rPr>
                <w:sz w:val="20"/>
              </w:rPr>
              <w:t>Legibilidade / Acessibilidade</w:t>
            </w:r>
          </w:p>
        </w:tc>
      </w:tr>
      <w:tr w:rsidR="00390FA7" w:rsidRPr="00D8689D" w14:paraId="5B5B4AA8" w14:textId="77777777">
        <w:tc>
          <w:tcPr>
            <w:tcW w:w="1701" w:type="dxa"/>
            <w:shd w:val="clear" w:color="auto" w:fill="EDE7F0"/>
          </w:tcPr>
          <w:p w14:paraId="5C739182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58A209B5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 xml:space="preserve">O card “Uma indústria focada em tornar a ciência mais acessível...” fica pouco legível devido ao efeito </w:t>
            </w:r>
            <w:proofErr w:type="spellStart"/>
            <w:r w:rsidRPr="00D8689D">
              <w:rPr>
                <w:sz w:val="20"/>
                <w:lang w:val="pt-BR"/>
              </w:rPr>
              <w:t>blur</w:t>
            </w:r>
            <w:proofErr w:type="spellEnd"/>
            <w:r w:rsidRPr="00D8689D">
              <w:rPr>
                <w:sz w:val="20"/>
                <w:lang w:val="pt-BR"/>
              </w:rPr>
              <w:t xml:space="preserve"> ao fundo.</w:t>
            </w:r>
          </w:p>
        </w:tc>
      </w:tr>
      <w:tr w:rsidR="00390FA7" w:rsidRPr="00D8689D" w14:paraId="3222A537" w14:textId="77777777">
        <w:tc>
          <w:tcPr>
            <w:tcW w:w="1701" w:type="dxa"/>
            <w:shd w:val="clear" w:color="auto" w:fill="EDE7F0"/>
          </w:tcPr>
          <w:p w14:paraId="584BEA11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735F829D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 xml:space="preserve">Aumentar o contraste do texto, reduzir a intensidade do </w:t>
            </w:r>
            <w:proofErr w:type="spellStart"/>
            <w:r w:rsidRPr="00D8689D">
              <w:rPr>
                <w:sz w:val="20"/>
                <w:lang w:val="pt-BR"/>
              </w:rPr>
              <w:t>blur</w:t>
            </w:r>
            <w:proofErr w:type="spellEnd"/>
            <w:r w:rsidRPr="00D8689D">
              <w:rPr>
                <w:sz w:val="20"/>
                <w:lang w:val="pt-BR"/>
              </w:rPr>
              <w:t xml:space="preserve"> ou aplicar fundo sólido/semitransparente atrás do texto.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390FA7" w:rsidRPr="00D8689D" w14:paraId="35E2E7D9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1540960E" w14:textId="097E2322" w:rsidR="002E3221" w:rsidRPr="002E3221" w:rsidRDefault="002E3221" w:rsidP="002E3221">
            <w:pPr>
              <w:jc w:val="center"/>
              <w:rPr>
                <w:b/>
                <w:color w:val="888888"/>
                <w:lang w:val="pt-BR"/>
              </w:rPr>
            </w:pPr>
            <w:r w:rsidRPr="002E3221">
              <w:rPr>
                <w:b/>
                <w:color w:val="888888"/>
                <w:lang w:val="pt-BR"/>
              </w:rPr>
              <w:drawing>
                <wp:inline distT="0" distB="0" distL="0" distR="0" wp14:anchorId="6FB1DB8D" wp14:editId="6AAB06C6">
                  <wp:extent cx="2322150" cy="2311400"/>
                  <wp:effectExtent l="0" t="0" r="2540" b="0"/>
                  <wp:docPr id="13140985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119" cy="2316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F7B89" w14:textId="77777777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>Card “Sobre nós” com texto sobre fundo desfocado.</w:t>
            </w:r>
          </w:p>
        </w:tc>
      </w:tr>
    </w:tbl>
    <w:p w14:paraId="5CE548B2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Card “Sobre nós” com texto sobre fundo desfocado.</w:t>
      </w:r>
    </w:p>
    <w:p w14:paraId="6322BED6" w14:textId="77777777" w:rsidR="00390FA7" w:rsidRPr="00D8689D" w:rsidRDefault="00390FA7">
      <w:pPr>
        <w:rPr>
          <w:lang w:val="pt-BR"/>
        </w:rPr>
      </w:pPr>
    </w:p>
    <w:p w14:paraId="47000058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4.5  Caixa de texto vazia abaixo de “Fique por dentro”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14:paraId="51721374" w14:textId="77777777">
        <w:tc>
          <w:tcPr>
            <w:tcW w:w="1701" w:type="dxa"/>
            <w:shd w:val="clear" w:color="auto" w:fill="EDE7F0"/>
          </w:tcPr>
          <w:p w14:paraId="6619F952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Categoria</w:t>
            </w:r>
            <w:proofErr w:type="spellEnd"/>
          </w:p>
        </w:tc>
        <w:tc>
          <w:tcPr>
            <w:tcW w:w="7370" w:type="dxa"/>
          </w:tcPr>
          <w:p w14:paraId="0D7EB853" w14:textId="77777777" w:rsidR="00390FA7" w:rsidRDefault="00000000">
            <w:r>
              <w:rPr>
                <w:sz w:val="20"/>
              </w:rPr>
              <w:t>Layout / Conteúdo</w:t>
            </w:r>
          </w:p>
        </w:tc>
      </w:tr>
      <w:tr w:rsidR="00390FA7" w:rsidRPr="00D8689D" w14:paraId="047B8E3A" w14:textId="77777777">
        <w:tc>
          <w:tcPr>
            <w:tcW w:w="1701" w:type="dxa"/>
            <w:shd w:val="clear" w:color="auto" w:fill="EDE7F0"/>
          </w:tcPr>
          <w:p w14:paraId="20613809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4CAF8484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Há uma caixa de texto aparentemente vazia logo abaixo da seção “Fique por dentro”.</w:t>
            </w:r>
          </w:p>
        </w:tc>
      </w:tr>
      <w:tr w:rsidR="00390FA7" w:rsidRPr="00D8689D" w14:paraId="26D31C16" w14:textId="77777777">
        <w:tc>
          <w:tcPr>
            <w:tcW w:w="1701" w:type="dxa"/>
            <w:shd w:val="clear" w:color="auto" w:fill="EDE7F0"/>
          </w:tcPr>
          <w:p w14:paraId="130C0B7C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5021414E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Remover a caixa vazia ou preencher com o conteúdo previsto.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90FA7" w:rsidRPr="00D8689D" w14:paraId="0CE0C979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2576529E" w14:textId="58A1DFA0" w:rsidR="002E3221" w:rsidRPr="002E3221" w:rsidRDefault="002E3221" w:rsidP="002E3221">
            <w:pPr>
              <w:jc w:val="center"/>
              <w:rPr>
                <w:i/>
                <w:color w:val="444444"/>
                <w:sz w:val="18"/>
                <w:lang w:val="pt-BR"/>
              </w:rPr>
            </w:pPr>
            <w:r w:rsidRPr="002E3221">
              <w:rPr>
                <w:i/>
                <w:color w:val="444444"/>
                <w:sz w:val="18"/>
                <w:lang w:val="pt-BR"/>
              </w:rPr>
              <w:drawing>
                <wp:inline distT="0" distB="0" distL="0" distR="0" wp14:anchorId="4B3AAFC7" wp14:editId="0CF61C21">
                  <wp:extent cx="5486400" cy="1390015"/>
                  <wp:effectExtent l="0" t="0" r="0" b="635"/>
                  <wp:docPr id="1680827221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39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85064" w14:textId="3E2FC873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>Caixa vazia abaixo de “Fique por dentro”.</w:t>
            </w:r>
          </w:p>
        </w:tc>
      </w:tr>
    </w:tbl>
    <w:p w14:paraId="269DE2D4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Caixa vazia abaixo de “Fique por dentro”.</w:t>
      </w:r>
    </w:p>
    <w:p w14:paraId="12139784" w14:textId="77777777" w:rsidR="00390FA7" w:rsidRPr="00D8689D" w:rsidRDefault="00390FA7">
      <w:pPr>
        <w:rPr>
          <w:lang w:val="pt-BR"/>
        </w:rPr>
      </w:pPr>
    </w:p>
    <w:p w14:paraId="14A854C9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4.6  Blur prejudica a leitura do título “Aplicações”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0"/>
        <w:gridCol w:w="7166"/>
      </w:tblGrid>
      <w:tr w:rsidR="00390FA7" w14:paraId="5D17F749" w14:textId="77777777">
        <w:tc>
          <w:tcPr>
            <w:tcW w:w="1701" w:type="dxa"/>
            <w:shd w:val="clear" w:color="auto" w:fill="EDE7F0"/>
          </w:tcPr>
          <w:p w14:paraId="18C94E7B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Categoria</w:t>
            </w:r>
            <w:proofErr w:type="spellEnd"/>
          </w:p>
        </w:tc>
        <w:tc>
          <w:tcPr>
            <w:tcW w:w="7370" w:type="dxa"/>
          </w:tcPr>
          <w:p w14:paraId="7DD485A5" w14:textId="77777777" w:rsidR="00390FA7" w:rsidRDefault="00000000">
            <w:r>
              <w:rPr>
                <w:sz w:val="20"/>
              </w:rPr>
              <w:t>Legibilidade</w:t>
            </w:r>
          </w:p>
        </w:tc>
      </w:tr>
      <w:tr w:rsidR="00390FA7" w:rsidRPr="00D8689D" w14:paraId="4E672985" w14:textId="77777777">
        <w:tc>
          <w:tcPr>
            <w:tcW w:w="1701" w:type="dxa"/>
            <w:shd w:val="clear" w:color="auto" w:fill="EDE7F0"/>
          </w:tcPr>
          <w:p w14:paraId="7B769E88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10ACC0A5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 xml:space="preserve">O efeito </w:t>
            </w:r>
            <w:proofErr w:type="spellStart"/>
            <w:r w:rsidRPr="00D8689D">
              <w:rPr>
                <w:sz w:val="20"/>
                <w:lang w:val="pt-BR"/>
              </w:rPr>
              <w:t>blur</w:t>
            </w:r>
            <w:proofErr w:type="spellEnd"/>
            <w:r w:rsidRPr="00D8689D">
              <w:rPr>
                <w:sz w:val="20"/>
                <w:lang w:val="pt-BR"/>
              </w:rPr>
              <w:t xml:space="preserve"> aplicado ao fundo do título “Aplicações” compromete a leitura.</w:t>
            </w:r>
          </w:p>
        </w:tc>
      </w:tr>
      <w:tr w:rsidR="00390FA7" w:rsidRPr="00D8689D" w14:paraId="415D6C25" w14:textId="77777777">
        <w:tc>
          <w:tcPr>
            <w:tcW w:w="1701" w:type="dxa"/>
            <w:shd w:val="clear" w:color="auto" w:fill="EDE7F0"/>
          </w:tcPr>
          <w:p w14:paraId="66B0BA44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24E6B293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 xml:space="preserve">Reduzir o </w:t>
            </w:r>
            <w:proofErr w:type="spellStart"/>
            <w:r w:rsidRPr="00D8689D">
              <w:rPr>
                <w:sz w:val="20"/>
                <w:lang w:val="pt-BR"/>
              </w:rPr>
              <w:t>blur</w:t>
            </w:r>
            <w:proofErr w:type="spellEnd"/>
            <w:r w:rsidRPr="00D8689D">
              <w:rPr>
                <w:sz w:val="20"/>
                <w:lang w:val="pt-BR"/>
              </w:rPr>
              <w:t xml:space="preserve"> e/ou aumentar o contraste entre título e fundo.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390FA7" w:rsidRPr="00D8689D" w14:paraId="052D5FAB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1981558E" w14:textId="79AD28E9" w:rsidR="002E3221" w:rsidRPr="002E3221" w:rsidRDefault="002E3221" w:rsidP="002E3221">
            <w:pPr>
              <w:jc w:val="center"/>
              <w:rPr>
                <w:b/>
                <w:color w:val="888888"/>
                <w:lang w:val="pt-BR"/>
              </w:rPr>
            </w:pPr>
            <w:r w:rsidRPr="002E3221">
              <w:rPr>
                <w:b/>
                <w:color w:val="888888"/>
                <w:lang w:val="pt-BR"/>
              </w:rPr>
              <w:drawing>
                <wp:inline distT="0" distB="0" distL="0" distR="0" wp14:anchorId="46ED5276" wp14:editId="65835051">
                  <wp:extent cx="4848225" cy="1771650"/>
                  <wp:effectExtent l="0" t="0" r="9525" b="0"/>
                  <wp:docPr id="1611220656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FFDEF" w14:textId="77777777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 xml:space="preserve">Título “Aplicações” com efeito </w:t>
            </w:r>
            <w:proofErr w:type="spellStart"/>
            <w:r w:rsidRPr="00D8689D">
              <w:rPr>
                <w:i/>
                <w:color w:val="444444"/>
                <w:sz w:val="18"/>
                <w:lang w:val="pt-BR"/>
              </w:rPr>
              <w:t>blur</w:t>
            </w:r>
            <w:proofErr w:type="spellEnd"/>
            <w:r w:rsidRPr="00D8689D">
              <w:rPr>
                <w:i/>
                <w:color w:val="444444"/>
                <w:sz w:val="18"/>
                <w:lang w:val="pt-BR"/>
              </w:rPr>
              <w:t>.</w:t>
            </w:r>
          </w:p>
        </w:tc>
      </w:tr>
    </w:tbl>
    <w:p w14:paraId="38BBCC2F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 xml:space="preserve">Figura — Título “Aplicações” com efeito </w:t>
      </w:r>
      <w:proofErr w:type="spellStart"/>
      <w:r w:rsidRPr="00D8689D">
        <w:rPr>
          <w:i/>
          <w:color w:val="444444"/>
          <w:sz w:val="18"/>
          <w:lang w:val="pt-BR"/>
        </w:rPr>
        <w:t>blur</w:t>
      </w:r>
      <w:proofErr w:type="spellEnd"/>
      <w:r w:rsidRPr="00D8689D">
        <w:rPr>
          <w:i/>
          <w:color w:val="444444"/>
          <w:sz w:val="18"/>
          <w:lang w:val="pt-BR"/>
        </w:rPr>
        <w:t>.</w:t>
      </w:r>
    </w:p>
    <w:p w14:paraId="1794EF3C" w14:textId="77777777" w:rsidR="00390FA7" w:rsidRPr="00D8689D" w:rsidRDefault="00390FA7">
      <w:pPr>
        <w:rPr>
          <w:lang w:val="pt-BR"/>
        </w:rPr>
      </w:pPr>
    </w:p>
    <w:p w14:paraId="47AA8133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4.7  Carrossel exige arrastar com o mouse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14:paraId="3A51A8A8" w14:textId="77777777">
        <w:tc>
          <w:tcPr>
            <w:tcW w:w="1701" w:type="dxa"/>
            <w:shd w:val="clear" w:color="auto" w:fill="EDE7F0"/>
          </w:tcPr>
          <w:p w14:paraId="732B6867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Categoria</w:t>
            </w:r>
            <w:proofErr w:type="spellEnd"/>
          </w:p>
        </w:tc>
        <w:tc>
          <w:tcPr>
            <w:tcW w:w="7370" w:type="dxa"/>
          </w:tcPr>
          <w:p w14:paraId="63512051" w14:textId="77777777" w:rsidR="00390FA7" w:rsidRDefault="00000000">
            <w:r>
              <w:rPr>
                <w:sz w:val="20"/>
              </w:rPr>
              <w:t>UX / Navegação</w:t>
            </w:r>
          </w:p>
        </w:tc>
      </w:tr>
      <w:tr w:rsidR="00390FA7" w:rsidRPr="00D8689D" w14:paraId="00FE0CC1" w14:textId="77777777">
        <w:tc>
          <w:tcPr>
            <w:tcW w:w="1701" w:type="dxa"/>
            <w:shd w:val="clear" w:color="auto" w:fill="EDE7F0"/>
          </w:tcPr>
          <w:p w14:paraId="69BFF7B7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048F1AA6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O carrossel de cards (“Simplificamos processos...”) exige arraste com o mouse; faltam controles (setas/botões) para girar os cards.</w:t>
            </w:r>
          </w:p>
        </w:tc>
      </w:tr>
      <w:tr w:rsidR="00390FA7" w:rsidRPr="00D8689D" w14:paraId="2638C6DE" w14:textId="77777777">
        <w:tc>
          <w:tcPr>
            <w:tcW w:w="1701" w:type="dxa"/>
            <w:shd w:val="clear" w:color="auto" w:fill="EDE7F0"/>
          </w:tcPr>
          <w:p w14:paraId="2D3BEF4D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lastRenderedPageBreak/>
              <w:t>Recomendação</w:t>
            </w:r>
            <w:proofErr w:type="spellEnd"/>
          </w:p>
        </w:tc>
        <w:tc>
          <w:tcPr>
            <w:tcW w:w="7370" w:type="dxa"/>
          </w:tcPr>
          <w:p w14:paraId="6F5836BC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Adicionar botões de navegação (setas anterior/próximo) e indicadores clicáveis ao carrossel.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90FA7" w:rsidRPr="00D8689D" w14:paraId="20719D1B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62C0AE6D" w14:textId="4292EB64" w:rsidR="002E3221" w:rsidRPr="002E3221" w:rsidRDefault="002E3221" w:rsidP="002E3221">
            <w:pPr>
              <w:jc w:val="center"/>
              <w:rPr>
                <w:b/>
                <w:color w:val="888888"/>
                <w:lang w:val="pt-BR"/>
              </w:rPr>
            </w:pPr>
            <w:r w:rsidRPr="002E3221">
              <w:rPr>
                <w:b/>
                <w:color w:val="888888"/>
                <w:lang w:val="pt-BR"/>
              </w:rPr>
              <w:drawing>
                <wp:inline distT="0" distB="0" distL="0" distR="0" wp14:anchorId="63EEFF30" wp14:editId="6B58A3DB">
                  <wp:extent cx="5486400" cy="2743200"/>
                  <wp:effectExtent l="0" t="0" r="0" b="0"/>
                  <wp:docPr id="194438372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94B7B" w14:textId="77777777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>Carrossel “Simplificamos processos para que você foque...”.</w:t>
            </w:r>
          </w:p>
        </w:tc>
      </w:tr>
    </w:tbl>
    <w:p w14:paraId="41A4CC2E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Carrossel “Simplificamos processos para que você foque...”.</w:t>
      </w:r>
    </w:p>
    <w:p w14:paraId="6A39E377" w14:textId="77777777" w:rsidR="00390FA7" w:rsidRPr="00D8689D" w:rsidRDefault="00390FA7">
      <w:pPr>
        <w:rPr>
          <w:lang w:val="pt-BR"/>
        </w:rPr>
      </w:pPr>
    </w:p>
    <w:p w14:paraId="49D83581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4.8  Pop-up “Saiba mais” exibido cedo demais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14:paraId="056293BA" w14:textId="77777777">
        <w:tc>
          <w:tcPr>
            <w:tcW w:w="1701" w:type="dxa"/>
            <w:shd w:val="clear" w:color="auto" w:fill="EDE7F0"/>
          </w:tcPr>
          <w:p w14:paraId="06897793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Categoria</w:t>
            </w:r>
            <w:proofErr w:type="spellEnd"/>
          </w:p>
        </w:tc>
        <w:tc>
          <w:tcPr>
            <w:tcW w:w="7370" w:type="dxa"/>
          </w:tcPr>
          <w:p w14:paraId="62BCF07B" w14:textId="77777777" w:rsidR="00390FA7" w:rsidRDefault="00000000">
            <w:r>
              <w:rPr>
                <w:sz w:val="20"/>
              </w:rPr>
              <w:t>UX / Timing de pop-up</w:t>
            </w:r>
          </w:p>
        </w:tc>
      </w:tr>
      <w:tr w:rsidR="00390FA7" w:rsidRPr="00D8689D" w14:paraId="2AE9FFD3" w14:textId="77777777">
        <w:tc>
          <w:tcPr>
            <w:tcW w:w="1701" w:type="dxa"/>
            <w:shd w:val="clear" w:color="auto" w:fill="EDE7F0"/>
          </w:tcPr>
          <w:p w14:paraId="31C9EF68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2AF24266" w14:textId="0709CD22" w:rsidR="00390FA7" w:rsidRPr="00D8689D" w:rsidRDefault="002E3221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Ao entrar no site, automaticamente abre esse aviso</w:t>
            </w:r>
          </w:p>
        </w:tc>
      </w:tr>
      <w:tr w:rsidR="00390FA7" w:rsidRPr="00D8689D" w14:paraId="2068257A" w14:textId="77777777">
        <w:tc>
          <w:tcPr>
            <w:tcW w:w="1701" w:type="dxa"/>
            <w:shd w:val="clear" w:color="auto" w:fill="EDE7F0"/>
          </w:tcPr>
          <w:p w14:paraId="6E08010A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441CD019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Atrasar/condicionar a exibição do pop-up (ex.: após rolagem ou intenção de saída), evitando interrupção imediata.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390FA7" w:rsidRPr="00D8689D" w14:paraId="0AFBFEE3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6E70A217" w14:textId="77777777" w:rsidR="002E3221" w:rsidRDefault="002E3221">
            <w:pPr>
              <w:jc w:val="center"/>
              <w:rPr>
                <w:i/>
                <w:color w:val="444444"/>
                <w:sz w:val="18"/>
                <w:lang w:val="pt-BR"/>
              </w:rPr>
            </w:pPr>
            <w:r w:rsidRPr="002E3221">
              <w:rPr>
                <w:b/>
                <w:color w:val="888888"/>
                <w:lang w:val="pt-BR"/>
              </w:rPr>
              <w:drawing>
                <wp:inline distT="0" distB="0" distL="0" distR="0" wp14:anchorId="155840AD" wp14:editId="51CD66A1">
                  <wp:extent cx="2454275" cy="1728063"/>
                  <wp:effectExtent l="0" t="0" r="3175" b="5715"/>
                  <wp:docPr id="19963725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3725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883" cy="173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FE334" w14:textId="4FE7107E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 xml:space="preserve">Pop-up “Saiba mais” sobre a página do </w:t>
            </w:r>
            <w:proofErr w:type="spellStart"/>
            <w:r w:rsidRPr="00D8689D">
              <w:rPr>
                <w:i/>
                <w:color w:val="444444"/>
                <w:sz w:val="18"/>
                <w:lang w:val="pt-BR"/>
              </w:rPr>
              <w:t>Extracta</w:t>
            </w:r>
            <w:proofErr w:type="spellEnd"/>
            <w:r w:rsidRPr="00D8689D">
              <w:rPr>
                <w:i/>
                <w:color w:val="444444"/>
                <w:sz w:val="18"/>
                <w:lang w:val="pt-BR"/>
              </w:rPr>
              <w:t xml:space="preserve"> 16.</w:t>
            </w:r>
          </w:p>
        </w:tc>
      </w:tr>
    </w:tbl>
    <w:p w14:paraId="006DF867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 xml:space="preserve">Figura — Pop-up “Saiba mais” sobre a página do </w:t>
      </w:r>
      <w:proofErr w:type="spellStart"/>
      <w:r w:rsidRPr="00D8689D">
        <w:rPr>
          <w:i/>
          <w:color w:val="444444"/>
          <w:sz w:val="18"/>
          <w:lang w:val="pt-BR"/>
        </w:rPr>
        <w:t>Extracta</w:t>
      </w:r>
      <w:proofErr w:type="spellEnd"/>
      <w:r w:rsidRPr="00D8689D">
        <w:rPr>
          <w:i/>
          <w:color w:val="444444"/>
          <w:sz w:val="18"/>
          <w:lang w:val="pt-BR"/>
        </w:rPr>
        <w:t xml:space="preserve"> 16.</w:t>
      </w:r>
    </w:p>
    <w:p w14:paraId="15DF2D4C" w14:textId="77777777" w:rsidR="00390FA7" w:rsidRPr="00D8689D" w:rsidRDefault="00390FA7">
      <w:pPr>
        <w:rPr>
          <w:lang w:val="pt-BR"/>
        </w:rPr>
      </w:pPr>
    </w:p>
    <w:p w14:paraId="2DD97C57" w14:textId="77777777" w:rsidR="00390FA7" w:rsidRPr="00D8689D" w:rsidRDefault="00000000">
      <w:pPr>
        <w:rPr>
          <w:lang w:val="pt-BR"/>
        </w:rPr>
      </w:pPr>
      <w:r w:rsidRPr="00D8689D">
        <w:rPr>
          <w:b/>
          <w:color w:val="222222"/>
          <w:sz w:val="25"/>
          <w:lang w:val="pt-BR"/>
        </w:rPr>
        <w:t>4.9  Proporção das imagens de produto inconsistente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14:paraId="7F955365" w14:textId="77777777">
        <w:tc>
          <w:tcPr>
            <w:tcW w:w="1701" w:type="dxa"/>
            <w:shd w:val="clear" w:color="auto" w:fill="EDE7F0"/>
          </w:tcPr>
          <w:p w14:paraId="0B83D406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lastRenderedPageBreak/>
              <w:t>Categoria</w:t>
            </w:r>
            <w:proofErr w:type="spellEnd"/>
          </w:p>
        </w:tc>
        <w:tc>
          <w:tcPr>
            <w:tcW w:w="7370" w:type="dxa"/>
          </w:tcPr>
          <w:p w14:paraId="5B69A96B" w14:textId="77777777" w:rsidR="00390FA7" w:rsidRDefault="00000000">
            <w:r>
              <w:rPr>
                <w:sz w:val="20"/>
              </w:rPr>
              <w:t>UI / Proporção de imagem</w:t>
            </w:r>
          </w:p>
        </w:tc>
      </w:tr>
      <w:tr w:rsidR="00390FA7" w:rsidRPr="00D8689D" w14:paraId="19A67188" w14:textId="77777777">
        <w:tc>
          <w:tcPr>
            <w:tcW w:w="1701" w:type="dxa"/>
            <w:shd w:val="clear" w:color="auto" w:fill="EDE7F0"/>
          </w:tcPr>
          <w:p w14:paraId="1EAD4E9E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79ADBFDD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Na listagem de produtos, equipamentos grandes aparecem pequenos e equipamentos pequenos aparecem grandes, sem escala/proporção padronizada entre os cards.</w:t>
            </w:r>
          </w:p>
        </w:tc>
      </w:tr>
      <w:tr w:rsidR="00390FA7" w:rsidRPr="00D8689D" w14:paraId="1FAC83A3" w14:textId="77777777">
        <w:tc>
          <w:tcPr>
            <w:tcW w:w="1701" w:type="dxa"/>
            <w:shd w:val="clear" w:color="auto" w:fill="EDE7F0"/>
          </w:tcPr>
          <w:p w14:paraId="215E25C8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33DC260D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Definir proporção/escala consistente para as fotos de produto (mesma área visual e enquadramento padronizado).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90FA7" w:rsidRPr="00D8689D" w14:paraId="00C4E25F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3D10255A" w14:textId="49DFBA39" w:rsidR="002E3221" w:rsidRPr="002E3221" w:rsidRDefault="002E3221" w:rsidP="002E3221">
            <w:pPr>
              <w:jc w:val="center"/>
              <w:rPr>
                <w:i/>
                <w:color w:val="444444"/>
                <w:sz w:val="18"/>
                <w:lang w:val="pt-BR"/>
              </w:rPr>
            </w:pPr>
            <w:r w:rsidRPr="002E3221">
              <w:rPr>
                <w:i/>
                <w:color w:val="444444"/>
                <w:sz w:val="18"/>
                <w:lang w:val="pt-BR"/>
              </w:rPr>
              <w:drawing>
                <wp:inline distT="0" distB="0" distL="0" distR="0" wp14:anchorId="59DAE1AA" wp14:editId="251FA3E8">
                  <wp:extent cx="5486400" cy="4239895"/>
                  <wp:effectExtent l="0" t="0" r="0" b="8255"/>
                  <wp:docPr id="1690566545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23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A564" w14:textId="77777777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>Listagem de produtos com escalas de imagem divergentes.</w:t>
            </w:r>
          </w:p>
        </w:tc>
      </w:tr>
    </w:tbl>
    <w:p w14:paraId="1C2CFF80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Listagem de produtos com escalas de imagem divergentes.</w:t>
      </w:r>
    </w:p>
    <w:p w14:paraId="055292B1" w14:textId="77777777" w:rsidR="00390FA7" w:rsidRPr="00D8689D" w:rsidRDefault="00390FA7">
      <w:pPr>
        <w:rPr>
          <w:lang w:val="pt-BR"/>
        </w:rPr>
      </w:pPr>
    </w:p>
    <w:p w14:paraId="4BD25054" w14:textId="77777777" w:rsidR="00390FA7" w:rsidRDefault="00000000">
      <w:proofErr w:type="gramStart"/>
      <w:r>
        <w:rPr>
          <w:b/>
          <w:color w:val="222222"/>
          <w:sz w:val="25"/>
        </w:rPr>
        <w:t xml:space="preserve">4.10  </w:t>
      </w:r>
      <w:proofErr w:type="spellStart"/>
      <w:r>
        <w:rPr>
          <w:b/>
          <w:color w:val="222222"/>
          <w:sz w:val="25"/>
        </w:rPr>
        <w:t>Desalinhamentos</w:t>
      </w:r>
      <w:proofErr w:type="spellEnd"/>
      <w:proofErr w:type="gramEnd"/>
      <w:r>
        <w:rPr>
          <w:b/>
          <w:color w:val="222222"/>
          <w:sz w:val="25"/>
        </w:rPr>
        <w:t xml:space="preserve"> </w:t>
      </w:r>
      <w:proofErr w:type="spellStart"/>
      <w:r>
        <w:rPr>
          <w:b/>
          <w:color w:val="222222"/>
          <w:sz w:val="25"/>
        </w:rPr>
        <w:t>nos</w:t>
      </w:r>
      <w:proofErr w:type="spellEnd"/>
      <w:r>
        <w:rPr>
          <w:b/>
          <w:color w:val="222222"/>
          <w:sz w:val="25"/>
        </w:rPr>
        <w:t xml:space="preserve"> cards de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9"/>
        <w:gridCol w:w="7167"/>
      </w:tblGrid>
      <w:tr w:rsidR="00390FA7" w14:paraId="2FAE1084" w14:textId="77777777">
        <w:tc>
          <w:tcPr>
            <w:tcW w:w="1701" w:type="dxa"/>
            <w:shd w:val="clear" w:color="auto" w:fill="EDE7F0"/>
          </w:tcPr>
          <w:p w14:paraId="5E60754D" w14:textId="77777777" w:rsidR="00390FA7" w:rsidRDefault="00000000">
            <w:r>
              <w:rPr>
                <w:b/>
                <w:color w:val="444444"/>
                <w:sz w:val="18"/>
              </w:rPr>
              <w:t>Categoria</w:t>
            </w:r>
          </w:p>
        </w:tc>
        <w:tc>
          <w:tcPr>
            <w:tcW w:w="7370" w:type="dxa"/>
          </w:tcPr>
          <w:p w14:paraId="3580F7C5" w14:textId="77777777" w:rsidR="00390FA7" w:rsidRDefault="00000000">
            <w:r>
              <w:rPr>
                <w:sz w:val="20"/>
              </w:rPr>
              <w:t>UI / Alinhamento</w:t>
            </w:r>
          </w:p>
        </w:tc>
      </w:tr>
      <w:tr w:rsidR="00390FA7" w:rsidRPr="00D8689D" w14:paraId="3993A4DE" w14:textId="77777777">
        <w:tc>
          <w:tcPr>
            <w:tcW w:w="1701" w:type="dxa"/>
            <w:shd w:val="clear" w:color="auto" w:fill="EDE7F0"/>
          </w:tcPr>
          <w:p w14:paraId="43BC6A86" w14:textId="77777777" w:rsidR="00390FA7" w:rsidRDefault="00000000">
            <w:r>
              <w:rPr>
                <w:b/>
                <w:color w:val="444444"/>
                <w:sz w:val="18"/>
              </w:rPr>
              <w:t>Observação</w:t>
            </w:r>
          </w:p>
        </w:tc>
        <w:tc>
          <w:tcPr>
            <w:tcW w:w="7370" w:type="dxa"/>
          </w:tcPr>
          <w:p w14:paraId="2E4F76F7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Os cards de produto apresentam alturas e posições variando entre si, gerando desalinhamento visual.</w:t>
            </w:r>
          </w:p>
        </w:tc>
      </w:tr>
      <w:tr w:rsidR="00390FA7" w:rsidRPr="00D8689D" w14:paraId="6A9D0829" w14:textId="77777777">
        <w:tc>
          <w:tcPr>
            <w:tcW w:w="1701" w:type="dxa"/>
            <w:shd w:val="clear" w:color="auto" w:fill="EDE7F0"/>
          </w:tcPr>
          <w:p w14:paraId="7028A8E5" w14:textId="77777777" w:rsidR="00390FA7" w:rsidRDefault="00000000">
            <w:proofErr w:type="spellStart"/>
            <w:r>
              <w:rPr>
                <w:b/>
                <w:color w:val="444444"/>
                <w:sz w:val="18"/>
              </w:rPr>
              <w:t>Recomendação</w:t>
            </w:r>
            <w:proofErr w:type="spellEnd"/>
          </w:p>
        </w:tc>
        <w:tc>
          <w:tcPr>
            <w:tcW w:w="7370" w:type="dxa"/>
          </w:tcPr>
          <w:p w14:paraId="62E447A2" w14:textId="77777777" w:rsidR="00390FA7" w:rsidRPr="00D8689D" w:rsidRDefault="00000000">
            <w:pPr>
              <w:rPr>
                <w:lang w:val="pt-BR"/>
              </w:rPr>
            </w:pPr>
            <w:r w:rsidRPr="00D8689D">
              <w:rPr>
                <w:sz w:val="20"/>
                <w:lang w:val="pt-BR"/>
              </w:rPr>
              <w:t>Padronizar a altura dos cards e o alinhamento de imagem, título, descrição e botões.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90FA7" w:rsidRPr="00D8689D" w14:paraId="778A2B1B" w14:textId="77777777">
        <w:trPr>
          <w:jc w:val="center"/>
        </w:trPr>
        <w:tc>
          <w:tcPr>
            <w:tcW w:w="8504" w:type="dxa"/>
            <w:shd w:val="clear" w:color="auto" w:fill="F2F2F2"/>
          </w:tcPr>
          <w:p w14:paraId="3E7DAB4F" w14:textId="7F09FD62" w:rsidR="002E3221" w:rsidRPr="002E3221" w:rsidRDefault="002E3221" w:rsidP="002E3221">
            <w:pPr>
              <w:jc w:val="center"/>
              <w:rPr>
                <w:b/>
                <w:color w:val="888888"/>
                <w:lang w:val="pt-BR"/>
              </w:rPr>
            </w:pPr>
            <w:r w:rsidRPr="002E3221">
              <w:rPr>
                <w:b/>
                <w:color w:val="888888"/>
                <w:lang w:val="pt-BR"/>
              </w:rPr>
              <w:lastRenderedPageBreak/>
              <w:drawing>
                <wp:inline distT="0" distB="0" distL="0" distR="0" wp14:anchorId="2DD77A5A" wp14:editId="2408C212">
                  <wp:extent cx="5486400" cy="4239895"/>
                  <wp:effectExtent l="0" t="0" r="0" b="8255"/>
                  <wp:docPr id="120061439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23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F764C" w14:textId="77777777" w:rsidR="00390FA7" w:rsidRPr="00D8689D" w:rsidRDefault="00000000">
            <w:pPr>
              <w:jc w:val="center"/>
              <w:rPr>
                <w:lang w:val="pt-BR"/>
              </w:rPr>
            </w:pPr>
            <w:r w:rsidRPr="00D8689D">
              <w:rPr>
                <w:i/>
                <w:color w:val="444444"/>
                <w:sz w:val="18"/>
                <w:lang w:val="pt-BR"/>
              </w:rPr>
              <w:t>Grade de produtos com cards desalinhados.</w:t>
            </w:r>
          </w:p>
        </w:tc>
      </w:tr>
    </w:tbl>
    <w:p w14:paraId="0AA4A16C" w14:textId="77777777" w:rsidR="00390FA7" w:rsidRPr="00D8689D" w:rsidRDefault="00000000">
      <w:pPr>
        <w:jc w:val="center"/>
        <w:rPr>
          <w:lang w:val="pt-BR"/>
        </w:rPr>
      </w:pPr>
      <w:r w:rsidRPr="00D8689D">
        <w:rPr>
          <w:i/>
          <w:color w:val="444444"/>
          <w:sz w:val="18"/>
          <w:lang w:val="pt-BR"/>
        </w:rPr>
        <w:t>Figura — Grade de produtos com cards desalinhados.</w:t>
      </w:r>
    </w:p>
    <w:p w14:paraId="68D17463" w14:textId="77777777" w:rsidR="00390FA7" w:rsidRPr="00D8689D" w:rsidRDefault="00390FA7">
      <w:pPr>
        <w:rPr>
          <w:lang w:val="pt-BR"/>
        </w:rPr>
      </w:pPr>
    </w:p>
    <w:p w14:paraId="466AF718" w14:textId="77777777" w:rsidR="00390FA7" w:rsidRPr="00D8689D" w:rsidRDefault="00000000">
      <w:pPr>
        <w:rPr>
          <w:lang w:val="pt-BR"/>
        </w:rPr>
      </w:pPr>
      <w:r w:rsidRPr="00D8689D">
        <w:rPr>
          <w:lang w:val="pt-BR"/>
        </w:rPr>
        <w:br w:type="page"/>
      </w:r>
    </w:p>
    <w:sectPr w:rsidR="00390FA7" w:rsidRPr="00D868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910180">
    <w:abstractNumId w:val="8"/>
  </w:num>
  <w:num w:numId="2" w16cid:durableId="704522325">
    <w:abstractNumId w:val="6"/>
  </w:num>
  <w:num w:numId="3" w16cid:durableId="507720725">
    <w:abstractNumId w:val="5"/>
  </w:num>
  <w:num w:numId="4" w16cid:durableId="562181441">
    <w:abstractNumId w:val="4"/>
  </w:num>
  <w:num w:numId="5" w16cid:durableId="717053456">
    <w:abstractNumId w:val="7"/>
  </w:num>
  <w:num w:numId="6" w16cid:durableId="1762482126">
    <w:abstractNumId w:val="3"/>
  </w:num>
  <w:num w:numId="7" w16cid:durableId="823350024">
    <w:abstractNumId w:val="2"/>
  </w:num>
  <w:num w:numId="8" w16cid:durableId="1504930531">
    <w:abstractNumId w:val="1"/>
  </w:num>
  <w:num w:numId="9" w16cid:durableId="71331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221"/>
    <w:rsid w:val="00326F90"/>
    <w:rsid w:val="00390FA7"/>
    <w:rsid w:val="003B0759"/>
    <w:rsid w:val="00AA1D8D"/>
    <w:rsid w:val="00B47730"/>
    <w:rsid w:val="00CB0664"/>
    <w:rsid w:val="00D8689D"/>
    <w:rsid w:val="00E03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B4040"/>
  <w14:defaultImageDpi w14:val="300"/>
  <w15:docId w15:val="{C8B365F1-BB39-49A7-8FC8-CFE4E7EF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1049</Words>
  <Characters>5670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Melk da Silva Bonfim Oliveira [Loccus]</cp:lastModifiedBy>
  <cp:revision>1</cp:revision>
  <cp:lastPrinted>2026-06-17T20:27:00Z</cp:lastPrinted>
  <dcterms:created xsi:type="dcterms:W3CDTF">2013-12-23T23:15:00Z</dcterms:created>
  <dcterms:modified xsi:type="dcterms:W3CDTF">2026-06-19T13:27:00Z</dcterms:modified>
  <cp:category/>
</cp:coreProperties>
</file>