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6"/>
          <w:szCs w:val="36"/>
        </w:rPr>
        <w:t xml:space="preserve">Évaluation de compatibilité de l’infrastructure hybride</w:t>
      </w:r>
    </w:p>
    <w:p>
      <w:pPr>
        <w:spacing w:after="100"/>
        <w:jc w:val="center"/>
      </w:pPr>
      <w:r>
        <w:rPr>
          <w:rFonts w:ascii="Arial" w:cs="Arial" w:eastAsia="Arial" w:hAnsi="Arial"/>
          <w:color w:val="555555"/>
          <w:sz w:val="26"/>
          <w:szCs w:val="26"/>
        </w:rPr>
        <w:t xml:space="preserve">avec l’environnement SI on-premise d’InduTechData</w:t>
      </w:r>
    </w:p>
    <w:p>
      <w:pPr>
        <w:spacing w:after="400"/>
        <w:jc w:val="center"/>
      </w:pPr>
      <w:r>
        <w:rPr>
          <w:rFonts w:ascii="Arial" w:cs="Arial" w:eastAsia="Arial" w:hAnsi="Arial"/>
          <w:color w:val="888888"/>
          <w:sz w:val="22"/>
          <w:szCs w:val="22"/>
        </w:rPr>
        <w:t xml:space="preserve">Projet P9 — Master 2 Data Engineering</w:t>
      </w:r>
    </w:p>
    <w:p>
      <w:pPr>
        <w:pStyle w:val="Heading1"/>
      </w:pPr>
      <w:r>
        <w:t xml:space="preserve">Introduction</w:t>
      </w:r>
    </w:p>
    <w:p>
      <w:pPr>
        <w:spacing w:after="200"/>
      </w:pPr>
      <w:r>
        <w:t xml:space="preserve">Ce document évalue la compatibilité de l’infrastructure hybride cloud proposée pour InduTechData avec son système d’information on-premise existant. L’analyse porte sur trois axes : la sécurité et la conformité, l’interopérabilité technique, et la scalabilité associée à la gestion des coûts. L’objectif est de garantir que la modernisation de l’infrastructure de gestion des données ne compromet ni la continuité de service ni la sécurité des données industrielles sensibles.</w:t>
      </w:r>
    </w:p>
    <w:p>
      <w:pPr>
        <w:pStyle w:val="Heading1"/>
      </w:pPr>
      <w:r>
        <w:t xml:space="preserve">1. Sécurité et conformité</w:t>
      </w:r>
    </w:p>
    <w:p>
      <w:pPr>
        <w:pStyle w:val="Heading2"/>
      </w:pPr>
      <w:r>
        <w:t xml:space="preserve">1.1. Protection des flux de données en transit</w:t>
      </w:r>
    </w:p>
    <w:p>
      <w:pPr>
        <w:spacing w:after="200"/>
      </w:pPr>
      <w:r>
        <w:t xml:space="preserve">L’ensemble des flux de données entre l’infrastructure on-premise et le cloud AWS transitent via un tunnel VPN Site-to-Site chiffré en IPsec. Ce tunnel garantit la confidentialité et l’intégrité des données en transit. En complément, tous les échanges applicatifs (Redpanda, DMS, API) sont protégés par TLS 1.2 ou supérieur. Les données au repos dans Amazon S3 sont chiffrées via SSE-S3 (Server-Side Encryption) avec la possibilité d’utiliser AWS KMS pour les données les plus sensibles.</w:t>
      </w:r>
    </w:p>
    <w:p>
      <w:pPr>
        <w:pStyle w:val="Heading2"/>
      </w:pPr>
      <w:r>
        <w:t xml:space="preserve">1.2. Gestion unifiée des identités</w:t>
      </w:r>
    </w:p>
    <w:p>
      <w:pPr>
        <w:spacing w:after="200"/>
      </w:pPr>
      <w:r>
        <w:t xml:space="preserve">L’Active Directory on-premise reste le maître d’identités de l’organisation. AWS AD Connector est déployé pour étendre cet annuaire vers le cloud sans duplication de données. Cette approche permet un SSO (Single Sign-On) homogène : les utilisateurs accèdent aux services cloud avec leurs identifiants habituels. Les politiques de sécurité (complexité des mots de passe, verrouillage de comptes, groupes de permissions) restent centralisées dans l’AD on-premise et s’appliquent automatiquement aux accès cloud via IAM fédéré.</w:t>
      </w:r>
    </w:p>
    <w:p>
      <w:pPr>
        <w:pStyle w:val="Heading1"/>
      </w:pPr>
      <w:r>
        <w:t xml:space="preserve">2. Interopérabilité</w:t>
      </w:r>
    </w:p>
    <w:p>
      <w:pPr>
        <w:pStyle w:val="Heading2"/>
      </w:pPr>
      <w:r>
        <w:t xml:space="preserve">2.1. Intégration Redpanda et SQL Server</w:t>
      </w:r>
    </w:p>
    <w:p>
      <w:pPr>
        <w:spacing w:after="200"/>
      </w:pPr>
      <w:r>
        <w:t xml:space="preserve">Redpanda, compatible avec l’API Apache Kafka, s’intègre avec SQL Server via le framework Kafka Connect et le connecteur Debezium pour le Change Data Capture (CDC). Ce mécanisme permet de capturer les modifications de la base SQL Server en temps réel et de les injecter dans des topics Redpanda pour un traitement streaming. En parallèle, AWS Database Migration Service (DMS) assure une réplication continue des données transactionnelles (ERP, CRM) depuis SQL Server vers Amazon Redshift pour l’analytique.</w:t>
      </w:r>
    </w:p>
    <w:p>
      <w:pPr>
        <w:pStyle w:val="Heading2"/>
      </w:pPr>
      <w:r>
        <w:t xml:space="preserve">2.2. Automatisation des flux de données</w:t>
      </w:r>
    </w:p>
    <w:p>
      <w:pPr>
        <w:spacing w:after="200"/>
      </w:pPr>
      <w:r>
        <w:t xml:space="preserve">L’ensemble des flux de données est automatisé et ne nécessite aucune intervention manuelle. Les capteurs IoT envoient leurs données en continu vers Redpanda via le protocole Kafka. Un connecteur S3 Sink exporte les données brutes vers Amazon S3 en micro-batch. AWS DMS fonctionne en mode CDC permanent pour la synchronisation SQL Server vers Redshift. Cette automatisation complète est essentielle pour garantir la fraîcheur des données analytiques et réduire les risques d’erreur humaine.</w:t>
      </w:r>
    </w:p>
    <w:p>
      <w:pPr>
        <w:pStyle w:val="Heading2"/>
      </w:pPr>
      <w:r>
        <w:t xml:space="preserve">2.3. Tableau de compatibilité des composants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Composant cloud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Composant on-premise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24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Capteurs IoT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Redpanda S3 Sink</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 HTTPS/TLS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Redshift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DMS (CDC)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IPsec + 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Redpanda (EC2)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Debezium CDC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Connector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LDAP proxy</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LDAPS (TLS)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 fédéré</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SAML 2.0 / OIDC</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HTTPS/TLS</w:t>
            </w:r>
          </w:p>
        </w:tc>
      </w:tr>
    </w:tbl>
    <w:p>
      <w:pPr>
        <w:pStyle w:val="Heading1"/>
      </w:pPr>
      <w:r>
        <w:t xml:space="preserve">3. Scalabilité et gestion des coûts</w:t>
      </w:r>
    </w:p>
    <w:p>
      <w:pPr>
        <w:pStyle w:val="Heading2"/>
      </w:pPr>
      <w:r>
        <w:t xml:space="preserve">3.1. Capacité de montée en charge</w:t>
      </w:r>
    </w:p>
    <w:p>
      <w:pPr>
        <w:spacing w:after="200"/>
      </w:pPr>
      <w:r>
        <w:t xml:space="preserve">L’architecture hybride proposée répond nativement aux besoins de croissance d’InduTechData. Amazon S3 offre une capacité de stockage illimitée avec un tiering automatique (S3 Standard vers S3-IA puis Glacier) pour optimiser les coûts des données froides. Redshift supporte le redimensionnement élastique pour adapter la puissance de calcul à la charge analytique. Redpanda scale horizontalement en ajoutant des nœuds au cluster, sans interruption de service. Cette architecture peut absorber une multiplication par 10 du volume de données sans refonte structurelle.</w:t>
      </w:r>
    </w:p>
    <w:p>
      <w:pPr>
        <w:pStyle w:val="Heading2"/>
      </w:pPr>
      <w:r>
        <w:t xml:space="preserve">3.2. Recommandations de suivi des coûts</w:t>
      </w:r>
    </w:p>
    <w:p>
      <w:pPr>
        <w:spacing w:after="100"/>
      </w:pPr>
      <w:r>
        <w:t xml:space="preserve">Pour maîtriser les coûts cloud, les outils de monitoring suivants sont recommandés :</w:t>
      </w:r>
    </w:p>
    <w:p>
      <w:pPr>
        <w:pStyle w:val="ListParagraph"/>
        <w:numPr>
          <w:ilvl w:val="0"/>
          <w:numId w:val="2"/>
        </w:numPr>
      </w:pPr>
      <w:r>
        <w:rPr>
          <w:b/>
          <w:bCs/>
        </w:rPr>
        <w:t xml:space="preserve">AWS Cost Explorer</w:t>
      </w:r>
      <w:r>
        <w:t xml:space="preserve"> pour analyser les tendances de dépenses par service et détecter les anomalies.</w:t>
      </w:r>
    </w:p>
    <w:p>
      <w:pPr>
        <w:pStyle w:val="ListParagraph"/>
        <w:numPr>
          <w:ilvl w:val="0"/>
          <w:numId w:val="2"/>
        </w:numPr>
      </w:pPr>
      <w:r>
        <w:rPr>
          <w:b/>
          <w:bCs/>
        </w:rPr>
        <w:t xml:space="preserve">AWS Budgets</w:t>
      </w:r>
      <w:r>
        <w:t xml:space="preserve"> avec des alertes à 80% et 100% du budget mensuel défini.</w:t>
      </w:r>
    </w:p>
    <w:p>
      <w:pPr>
        <w:pStyle w:val="ListParagraph"/>
        <w:numPr>
          <w:ilvl w:val="0"/>
          <w:numId w:val="2"/>
        </w:numPr>
      </w:pPr>
      <w:r>
        <w:rPr>
          <w:b/>
          <w:bCs/>
        </w:rPr>
        <w:t xml:space="preserve">Amazon CloudWatch</w:t>
      </w:r>
      <w:r>
        <w:t xml:space="preserve"> pour la surveillance des performances (CPU, mémoire, latence) de chaque service.</w:t>
      </w:r>
    </w:p>
    <w:p>
      <w:pPr>
        <w:pStyle w:val="ListParagraph"/>
        <w:numPr>
          <w:ilvl w:val="0"/>
          <w:numId w:val="2"/>
        </w:numPr>
        <w:spacing w:after="200"/>
      </w:pPr>
      <w:r>
        <w:rPr>
          <w:b/>
          <w:bCs/>
        </w:rPr>
        <w:t xml:space="preserve">AWS Trusted Advisor</w:t>
      </w:r>
      <w:r>
        <w:t xml:space="preserve"> pour identifier les ressources sous-utilisées et les opportunités d’optimisation.</w:t>
      </w:r>
    </w:p>
    <w:p>
      <w:pPr>
        <w:pStyle w:val="Heading2"/>
      </w:pPr>
      <w:r>
        <w:t xml:space="preserve">3.3. Estimation des coûts</w:t>
      </w:r>
    </w:p>
    <w:p>
      <w:pPr>
        <w:spacing w:after="100"/>
      </w:pPr>
      <w:r>
        <w:t xml:space="preserve">Estimation réalisée avec AWS Pricing Calculator (région eu-west-3, Paris) :</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Coût mensuel</w:t>
            </w:r>
          </w:p>
        </w:tc>
        <w:tc>
          <w:tcPr>
            <w:tcW w:type="dxa" w:w="20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Coût annuel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 (50 Go/mois)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Redshift (dc2.large)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~1 980 €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EC2 pour Redpanda (t3.medium)</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DMS (t3.medium)</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Site-to-Site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Connector (Small)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 monitoring</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Récurrent</w:t>
            </w:r>
          </w:p>
        </w:tc>
      </w:tr>
      <w:tr>
        <w:tc>
          <w:tcPr>
            <w:tcW w:type="dxa" w:w="3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013"/>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0"/>
                <w:szCs w:val="20"/>
              </w:rPr>
              <w:t xml:space="preserve">~352 €</w:t>
            </w:r>
          </w:p>
        </w:tc>
        <w:tc>
          <w:tcPr>
            <w:tcW w:type="dxa" w:w="2013"/>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b/>
                <w:bCs/>
                <w:sz w:val="20"/>
                <w:szCs w:val="20"/>
              </w:rPr>
              <w:t xml:space="preserve">~4 224 €</w:t>
            </w:r>
          </w:p>
        </w:tc>
        <w:tc>
          <w:tcPr>
            <w:tcW w:type="dxa" w:w="2000"/>
            <w:tcBorders>
              <w:top w:val="single" w:color="CCCCCC" w:sz="1"/>
              <w:left w:val="single" w:color="CCCCCC" w:sz="1"/>
              <w:bottom w:val="single" w:color="CCCCCC" w:sz="1"/>
              <w:right w:val="single" w:color="CCCCCC" w:sz="1"/>
            </w:tcBorders>
            <w:shd w:fill="E8F0E8" w:val="clear"/>
            <w:tcMar>
              <w:top w:type="dxa" w:w="80"/>
              <w:left w:type="dxa" w:w="120"/>
              <w:bottom w:type="dxa" w:w="80"/>
              <w:right w:type="dxa" w:w="120"/>
            </w:tcMar>
          </w:tcPr>
          <w:p>
            <w:r>
              <w:rPr>
                <w:rFonts w:ascii="Arial" w:cs="Arial" w:eastAsia="Arial" w:hAnsi="Arial"/>
                <w:sz w:val="20"/>
                <w:szCs w:val="20"/>
              </w:rPr>
              <w:t xml:space="preserve"/>
            </w:r>
          </w:p>
        </w:tc>
      </w:tr>
    </w:tbl>
    <w:p>
      <w:pPr>
        <w:pStyle w:val="Heading1"/>
      </w:pPr>
      <w:r>
        <w:t xml:space="preserve">4. Points d’attention pour l’intégration</w:t>
      </w:r>
    </w:p>
    <w:p>
      <w:pPr>
        <w:spacing w:after="100"/>
      </w:pPr>
      <w:r>
        <w:t xml:space="preserve">Plusieurs risques doivent être anticipés lors de la mise en œuvre de cette architecture hybride :</w:t>
      </w:r>
    </w:p>
    <w:p>
      <w:pPr>
        <w:pStyle w:val="ListParagraph"/>
        <w:numPr>
          <w:ilvl w:val="0"/>
          <w:numId w:val="2"/>
        </w:numPr>
      </w:pPr>
      <w:r>
        <w:rPr>
          <w:b/>
          <w:bCs/>
        </w:rPr>
        <w:t xml:space="preserve">Latence réseau : </w:t>
      </w:r>
      <w:r>
        <w:t xml:space="preserve">le VPN Site-to-Site introduit une latence de 10-30 ms. Pour les applications sensibles à la latence, AWS Direct Connect (liaison dédiée) peut être envisagé mais augmente significativement le coût (~200 €/mois).</w:t>
      </w:r>
    </w:p>
    <w:p>
      <w:pPr>
        <w:pStyle w:val="ListParagraph"/>
        <w:numPr>
          <w:ilvl w:val="0"/>
          <w:numId w:val="2"/>
        </w:numPr>
      </w:pPr>
      <w:r>
        <w:rPr>
          <w:b/>
          <w:bCs/>
        </w:rPr>
        <w:t xml:space="preserve">Point de défaillance unique : </w:t>
      </w:r>
      <w:r>
        <w:t xml:space="preserve">la connexion réseau entre on-premise et cloud est critique. La redondance via un second tunnel VPN est recommandée. Redpanda bufférise les données localement en cas de coupure.</w:t>
      </w:r>
    </w:p>
    <w:p>
      <w:pPr>
        <w:pStyle w:val="ListParagraph"/>
        <w:numPr>
          <w:ilvl w:val="0"/>
          <w:numId w:val="2"/>
        </w:numPr>
      </w:pPr>
      <w:r>
        <w:rPr>
          <w:b/>
          <w:bCs/>
        </w:rPr>
        <w:t xml:space="preserve">Conformité RGPD : </w:t>
      </w:r>
      <w:r>
        <w:t xml:space="preserve">les données clients doivent rester dans la région eu-west-3 (Paris). La configuration des buckets S3 et du cluster Redshift doit explicitement forcer cette région.</w:t>
      </w:r>
    </w:p>
    <w:p>
      <w:pPr>
        <w:pStyle w:val="ListParagraph"/>
        <w:numPr>
          <w:ilvl w:val="0"/>
          <w:numId w:val="2"/>
        </w:numPr>
        <w:spacing w:after="200"/>
      </w:pPr>
      <w:r>
        <w:rPr>
          <w:b/>
          <w:bCs/>
        </w:rPr>
        <w:t xml:space="preserve">Compétences équipes : </w:t>
      </w:r>
      <w:r>
        <w:t xml:space="preserve">la transition vers le cloud nécessite une montée en compétences des équipes sur les services AWS et Redpanda. Un plan de formation est recommandé.</w:t>
      </w:r>
    </w:p>
    <w:p>
      <w:pPr>
        <w:pStyle w:val="Heading1"/>
      </w:pPr>
      <w:r>
        <w:t xml:space="preserve">Conclusion</w:t>
      </w:r>
    </w:p>
    <w:p>
      <w:pPr>
        <w:spacing w:after="200"/>
      </w:pPr>
      <w:r>
        <w:t xml:space="preserve">L’infrastructure hybride proposée est compatible avec le SI existant d’InduTechData. La sécurité est assurée de bout en bout (TLS, VPN, AD Connector), l’interopérabilité est démontrée via des connecteurs standards (DMS, Debezium, Kafka Connect), et la scalabilité est native aux services cloud choisis. Le coût mensuel estimé à environ 350 € reste raisonnable pour une PME industrielle de cette taille, avec un retour sur investissement attendu via la réduction des coûts d’infrastructure physique et l’amélioration de la capacité analytique.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InduTechData — Évaluation de compatibilité de l’infrastructure hybride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2026-02-21T17:12:52.732Z</dcterms:created>
  <dcterms:modified xsi:type="dcterms:W3CDTF">2026-02-21T17:12:52.733Z</dcterms:modified>
</cp:coreProperties>
</file>

<file path=docProps/custom.xml><?xml version="1.0" encoding="utf-8"?>
<Properties xmlns="http://schemas.openxmlformats.org/officeDocument/2006/custom-properties" xmlns:vt="http://schemas.openxmlformats.org/officeDocument/2006/docPropsVTypes"/>
</file>