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0"/>
          <w:szCs w:val="40"/>
        </w:rPr>
        <w:t xml:space="preserve">Évaluation de compatibilité</w:t>
      </w:r>
    </w:p>
    <w:p>
      <w:pPr>
        <w:spacing w:after="100"/>
        <w:jc w:val="center"/>
      </w:pPr>
      <w:r>
        <w:rPr>
          <w:rFonts w:ascii="Arial" w:cs="Arial" w:eastAsia="Arial" w:hAnsi="Arial"/>
          <w:color w:val="2E75B6"/>
          <w:sz w:val="28"/>
          <w:szCs w:val="28"/>
        </w:rPr>
        <w:t xml:space="preserve">Infrastructure hybride cloud — InduTechData</w:t>
      </w:r>
    </w:p>
    <w:p>
      <w:pPr>
        <w:spacing w:after="400"/>
        <w:jc w:val="center"/>
      </w:pPr>
      <w:r>
        <w:rPr>
          <w:rFonts w:ascii="Arial" w:cs="Arial" w:eastAsia="Arial" w:hAnsi="Arial"/>
          <w:i/>
          <w:iCs/>
          <w:color w:val="666666"/>
          <w:sz w:val="20"/>
          <w:szCs w:val="20"/>
        </w:rPr>
        <w:t xml:space="preserve">Projet P9 — Modélisez une infrastructure dans le cloud</w:t>
      </w:r>
    </w:p>
    <w:p>
      <w:pPr>
        <w:pStyle w:val="Heading1"/>
      </w:pPr>
      <w:r>
        <w:t xml:space="preserve">1. Introduction</w:t>
      </w:r>
    </w:p>
    <w:p>
      <w:pPr>
        <w:spacing w:after="200"/>
      </w:pPr>
      <w:r>
        <w:rPr>
          <w:rFonts w:ascii="Arial" w:cs="Arial" w:eastAsia="Arial" w:hAnsi="Arial"/>
          <w:sz w:val="22"/>
          <w:szCs w:val="22"/>
        </w:rPr>
        <w:t xml:space="preserve">Ce document évalue la compatibilité de l'infrastructure hybride cloud proposée pour InduTechData avec son système d'information (SI) on-premise existant. L'analyse couvre trois axes : la sécurité et la conformité, l'interopérabilité des systèmes, ainsi que la scalabilité et la gestion des coûts. L'objectif est de garantir que la modernisation de l'infrastructure via AWS s'intègre de manière fluide avec l'existant, sans rupture de service ni compromis sur la sécurité des données.</w:t>
      </w:r>
    </w:p>
    <w:p>
      <w:pPr>
        <w:pStyle w:val="Heading1"/>
      </w:pPr>
      <w:r>
        <w:t xml:space="preserve">2. Sécurité et conformité</w:t>
      </w:r>
    </w:p>
    <w:p>
      <w:pPr>
        <w:pStyle w:val="Heading2"/>
      </w:pPr>
      <w:r>
        <w:t xml:space="preserve">2.1 Chiffrement des flux de données</w:t>
      </w:r>
    </w:p>
    <w:p>
      <w:pPr>
        <w:spacing w:after="160"/>
      </w:pPr>
      <w:r>
        <w:rPr>
          <w:rFonts w:ascii="Arial" w:cs="Arial" w:eastAsia="Arial" w:hAnsi="Arial"/>
          <w:sz w:val="22"/>
          <w:szCs w:val="22"/>
        </w:rPr>
        <w:t xml:space="preserve">L'ensemble des communications entre le datacenter on-premise et le cloud AWS transite via un tunnel VPN Site-to-Site chiffré en IPsec (AES-256). Ce mécanisme garantit la confidentialité des données en transit, y compris les flux critiques provenant des capteurs IoT et les réplications SQL Server.</w:t>
      </w:r>
    </w:p>
    <w:p>
      <w:pPr>
        <w:spacing w:after="160"/>
      </w:pPr>
      <w:r>
        <w:rPr>
          <w:rFonts w:ascii="Arial" w:cs="Arial" w:eastAsia="Arial" w:hAnsi="Arial"/>
          <w:sz w:val="22"/>
          <w:szCs w:val="22"/>
        </w:rPr>
        <w:t xml:space="preserve">Redpanda supporte nativement le chiffrement TLS 1.2+ pour toutes les connexions client-broker, assurant la protection des flux de streaming. Les données stockées dans Amazon S3 sont chiffrées au repos via SSE-S3 (Server-Side Encryption), avec la possibilité d'utiliser AWS KMS pour un contrôle renforcé des clés de chiffrement.</w:t>
      </w:r>
    </w:p>
    <w:p>
      <w:pPr>
        <w:pStyle w:val="Heading2"/>
      </w:pPr>
      <w:r>
        <w:t xml:space="preserve">2.2 Gestion unifiée des identités</w:t>
      </w:r>
    </w:p>
    <w:p>
      <w:pPr>
        <w:spacing w:after="160"/>
      </w:pPr>
      <w:r>
        <w:rPr>
          <w:rFonts w:ascii="Arial" w:cs="Arial" w:eastAsia="Arial" w:hAnsi="Arial"/>
          <w:sz w:val="22"/>
          <w:szCs w:val="22"/>
        </w:rPr>
        <w:t xml:space="preserve">L'Active Directory (AD) on-premise reste le maître d'identités de l'organisation. AWS AD Connector est déployé pour étendre l'AD vers le cloud sans duplication de l'annuaire. Ce mécanisme de proxy permet aux utilisateurs de s'authentifier sur les services AWS avec leurs identifiants habituels, via un SSO (Single Sign-On) fédéré.</w:t>
      </w:r>
    </w:p>
    <w:p>
      <w:pPr>
        <w:spacing w:after="200"/>
      </w:pPr>
      <w:r>
        <w:rPr>
          <w:rFonts w:ascii="Arial" w:cs="Arial" w:eastAsia="Arial" w:hAnsi="Arial"/>
          <w:sz w:val="22"/>
          <w:szCs w:val="22"/>
        </w:rPr>
        <w:t xml:space="preserve">Les rôles et permissions AWS sont gérés via IAM (Identity and Access Management), avec une correspondance directe aux groupes AD existants. Cette approche garantit une gestion homogène des identités sur l'ensemble de l'infrastructure hybride, conforme aux exigences de sécurité de l'entreprise.</w:t>
      </w:r>
    </w:p>
    <w:p>
      <w:pPr>
        <w:pStyle w:val="Heading1"/>
      </w:pPr>
      <w:r>
        <w:t xml:space="preserve">3. Interopérabilité</w:t>
      </w:r>
    </w:p>
    <w:p>
      <w:pPr>
        <w:pStyle w:val="Heading2"/>
      </w:pPr>
      <w:r>
        <w:t xml:space="preserve">3.1 Intégration Redpanda et SQL Server</w:t>
      </w:r>
    </w:p>
    <w:p>
      <w:pPr>
        <w:spacing w:after="160"/>
      </w:pPr>
      <w:r>
        <w:rPr>
          <w:rFonts w:ascii="Arial" w:cs="Arial" w:eastAsia="Arial" w:hAnsi="Arial"/>
          <w:sz w:val="22"/>
          <w:szCs w:val="22"/>
        </w:rPr>
        <w:t xml:space="preserve">Redpanda est compatible à 100 % avec l'API Apache Kafka, ce qui permet d'utiliser l'écosystème complet de connecteurs Kafka Connect. Le connecteur JDBC Source permet d'ingérer des données depuis SQL Server vers Redpanda, tandis que Debezium assure la capture de changements (CDC) en temps réel pour synchroniser les modifications transactionnelles.</w:t>
      </w:r>
    </w:p>
    <w:p>
      <w:pPr>
        <w:spacing w:after="160"/>
      </w:pPr>
      <w:r>
        <w:rPr>
          <w:rFonts w:ascii="Arial" w:cs="Arial" w:eastAsia="Arial" w:hAnsi="Arial"/>
          <w:sz w:val="22"/>
          <w:szCs w:val="22"/>
        </w:rPr>
        <w:t xml:space="preserve">En parallèle, AWS Database Migration Service (DMS) réplique en continu les données de SQL Server vers Amazon Redshift via le mode Change Data Capture. Cette double approche garantit que les données analytiques dans le cloud sont toujours synchronisées avec le SI transactionnel on-premise.</w:t>
      </w:r>
    </w:p>
    <w:p>
      <w:pPr>
        <w:pStyle w:val="Heading2"/>
      </w:pPr>
      <w:r>
        <w:t xml:space="preserve">3.2 Automatisation des flux de données</w:t>
      </w:r>
    </w:p>
    <w:p>
      <w:pPr>
        <w:spacing w:after="200"/>
      </w:pPr>
      <w:r>
        <w:rPr>
          <w:rFonts w:ascii="Arial" w:cs="Arial" w:eastAsia="Arial" w:hAnsi="Arial"/>
          <w:sz w:val="22"/>
          <w:szCs w:val="22"/>
        </w:rPr>
        <w:t xml:space="preserve">L'intégralité des flux de données est automatisée. Les capteurs IoT envoient leurs données directement dans Redpanda via le protocole Kafka. Les connecteurs Redpanda transfèrent automatiquement les données vers Amazon S3 (S3 Sink Connector) en mode micro-batch. AWS DMS fonctionne en mode CDC permanent, sans intervention manuelle. Aucun flux ne nécessite de déclenchement manuel, ce qui élimine les risques d'erreur humaine et garantit la fraîcheur des données.</w:t>
      </w:r>
    </w:p>
    <w:p>
      <w:pPr>
        <w:pStyle w:val="Heading1"/>
      </w:pPr>
      <w:r>
        <w:t xml:space="preserve">4. Scalabilité et gestion des coûts</w:t>
      </w:r>
    </w:p>
    <w:p>
      <w:pPr>
        <w:pStyle w:val="Heading2"/>
      </w:pPr>
      <w:r>
        <w:t xml:space="preserve">4.1 Capacité de montée en charge</w:t>
      </w:r>
    </w:p>
    <w:p>
      <w:pPr>
        <w:spacing w:after="160"/>
      </w:pPr>
      <w:r>
        <w:rPr>
          <w:rFonts w:ascii="Arial" w:cs="Arial" w:eastAsia="Arial" w:hAnsi="Arial"/>
          <w:sz w:val="22"/>
          <w:szCs w:val="22"/>
        </w:rPr>
        <w:t xml:space="preserve">L'architecture proposée est conçue pour absorber une croissance significative des volumes de données. Amazon S3 offre une capacité de stockage virtuellement illimitée, avec un tiering automatique (S3 Standard vers S3-IA vers Glacier) pour optimiser les coûts. Redpanda supporte le scaling horizontal par ajout de brokers. Amazon Redshift propose un resize élastique pour adapter la puissance de calcul à la demande.</w:t>
      </w:r>
    </w:p>
    <w:p>
      <w:pPr>
        <w:pStyle w:val="Heading2"/>
      </w:pPr>
      <w:r>
        <w:t xml:space="preserve">4.2 Surveillance et maîtrise des coûts</w:t>
      </w:r>
    </w:p>
    <w:p>
      <w:pPr>
        <w:spacing w:after="160"/>
      </w:pPr>
      <w:r>
        <w:rPr>
          <w:rFonts w:ascii="Arial" w:cs="Arial" w:eastAsia="Arial" w:hAnsi="Arial"/>
          <w:sz w:val="22"/>
          <w:szCs w:val="22"/>
        </w:rPr>
        <w:t xml:space="preserve">Nous recommandons Amazon CloudWatch pour la surveillance des métriques de performance et AWS Cost Explorer couplé à AWS Budgets pour le suivi financier. Des alertes sont configurées à 80 % et 100 % du budget mensuel pour anticiper tout dépassement.</w:t>
      </w:r>
    </w:p>
    <w:p>
      <w:pPr>
        <w:pStyle w:val="Heading2"/>
      </w:pPr>
      <w:r>
        <w:t xml:space="preserve">4.3 Estimation des coûts</w:t>
      </w:r>
    </w:p>
    <w:p>
      <w:pPr>
        <w:spacing w:after="160"/>
      </w:pPr>
      <w:r>
        <w:rPr>
          <w:rFonts w:ascii="Arial" w:cs="Arial" w:eastAsia="Arial" w:hAnsi="Arial"/>
          <w:sz w:val="22"/>
          <w:szCs w:val="22"/>
        </w:rPr>
        <w:t xml:space="preserve">Voici une estimation des coûts mensuels basée sur le AWS Pricing Calculator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 AWS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Coût/mois</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Détails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S3 (Standard)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Go/mois de données IoT + logs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Amazon Redshift (dc2.large)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~180 $</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nœud, stockage 160 Go SSD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EC2 pour Redpanda (t3.medium)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vCPU, 4 Go RAM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DMS (réplication CDC)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Instance dms.t3.medium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VPN Site-to-Site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Connexion + transfert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CloudWatch + divers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 alertes</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TOTAL ESTIMÉ</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~500 $/mois</w:t>
            </w:r>
          </w:p>
        </w:tc>
        <w:tc>
          <w:tcPr>
            <w:tcW w:type="dxa" w:w="40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~6 000 $/an</w:t>
            </w:r>
          </w:p>
        </w:tc>
      </w:tr>
    </w:tbl>
    <w:p>
      <w:pPr>
        <w:spacing w:before="200"/>
      </w:pPr>
      <w:r>
        <w:rPr>
          <w:rFonts w:ascii="Arial" w:cs="Arial" w:eastAsia="Arial" w:hAnsi="Arial"/>
          <w:i/>
          <w:iCs/>
          <w:sz w:val="22"/>
          <w:szCs w:val="22"/>
        </w:rPr>
        <w:t xml:space="preserve">Ces coûts représentent une estimation initiale susceptible d'évoluer avec la croissance des volumes.</w:t>
      </w:r>
    </w:p>
    <w:p>
      <w:pPr>
        <w:pStyle w:val="Heading1"/>
      </w:pPr>
      <w:r>
        <w:t xml:space="preserve">5. Points d'attention pour l'intégration</w:t>
      </w:r>
    </w:p>
    <w:p>
      <w:pPr>
        <w:spacing w:after="120"/>
      </w:pPr>
      <w:r>
        <w:rPr>
          <w:rFonts w:ascii="Arial" w:cs="Arial" w:eastAsia="Arial" w:hAnsi="Arial"/>
          <w:sz w:val="22"/>
          <w:szCs w:val="22"/>
        </w:rPr>
        <w:t xml:space="preserve">Dépendance au lien réseau : la connexion VPN constitue un point critique. Nous recommandons une redondance avec deux tunnels VPN actifs pour garantir la continuité de service.</w:t>
      </w:r>
    </w:p>
    <w:p>
      <w:pPr>
        <w:spacing w:after="120"/>
      </w:pPr>
      <w:r>
        <w:rPr>
          <w:rFonts w:ascii="Arial" w:cs="Arial" w:eastAsia="Arial" w:hAnsi="Arial"/>
          <w:sz w:val="22"/>
          <w:szCs w:val="22"/>
        </w:rPr>
        <w:t xml:space="preserve">Latence de synchronisation : le mode CDC de DMS introduit un décalage de quelques secondes, acceptable pour l'analytique mais à documenter pour les équipes métier.</w:t>
      </w:r>
    </w:p>
    <w:p>
      <w:pPr>
        <w:spacing w:after="120"/>
      </w:pPr>
      <w:r>
        <w:rPr>
          <w:rFonts w:ascii="Arial" w:cs="Arial" w:eastAsia="Arial" w:hAnsi="Arial"/>
          <w:sz w:val="22"/>
          <w:szCs w:val="22"/>
        </w:rPr>
        <w:t xml:space="preserve">Formation des équipes : la transition vers un modèle hybride nécessite une montée en compétence sur les services AWS. Un plan de formation est recommandé.</w:t>
      </w:r>
    </w:p>
    <w:p>
      <w:pPr>
        <w:spacing w:after="200"/>
      </w:pPr>
      <w:r>
        <w:rPr>
          <w:rFonts w:ascii="Arial" w:cs="Arial" w:eastAsia="Arial" w:hAnsi="Arial"/>
          <w:sz w:val="22"/>
          <w:szCs w:val="22"/>
        </w:rPr>
        <w:t xml:space="preserve">Évolutivité future : l'architecture est prête pour l'intégration ultérieure de services avancés (SageMaker, QuickSight) sans refonte structurelle.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InduTechData — Évaluation de compatibilité infrastructure hybride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2026-02-21T17:09:34.721Z</dcterms:created>
  <dcterms:modified xsi:type="dcterms:W3CDTF">2026-02-21T17:09:34.723Z</dcterms:modified>
</cp:coreProperties>
</file>

<file path=docProps/custom.xml><?xml version="1.0" encoding="utf-8"?>
<Properties xmlns="http://schemas.openxmlformats.org/officeDocument/2006/custom-properties" xmlns:vt="http://schemas.openxmlformats.org/officeDocument/2006/docPropsVTypes"/>
</file>