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Міністерство освіти і науки України</w:t>
      </w:r>
    </w:p>
    <w:p>
      <w:pPr>
        <w:pStyle w:val="1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Національний технічний університет України</w:t>
      </w:r>
    </w:p>
    <w:p>
      <w:pPr>
        <w:pStyle w:val="1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«Київський політехнічний інститут ім. Ігоря Сікорського»</w:t>
      </w:r>
    </w:p>
    <w:p>
      <w:pPr>
        <w:pStyle w:val="1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Факультет інформатики та обчислювальної техніки</w:t>
      </w:r>
    </w:p>
    <w:p>
      <w:pPr>
        <w:pStyle w:val="1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Кафедра інформаційних систем та технологій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pStyle w:val="1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360"/>
        <w:jc w:val="center"/>
        <w:rPr>
          <w:rFonts w:hint="default" w:ascii="Times New Roman" w:hAnsi="Times New Roman" w:cs="Times New Roman"/>
          <w:sz w:val="40"/>
          <w:szCs w:val="40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</w:rPr>
        <w:t>Комп’ютерний практикум №</w:t>
      </w:r>
      <w:r>
        <w:rPr>
          <w:rFonts w:hint="default" w:cs="Times New Roman"/>
          <w:i w:val="0"/>
          <w:iCs w:val="0"/>
          <w:color w:val="000000"/>
          <w:sz w:val="40"/>
          <w:szCs w:val="40"/>
          <w:u w:val="none"/>
          <w:vertAlign w:val="baseline"/>
          <w:lang w:val="uk-UA"/>
        </w:rPr>
        <w:t>1</w:t>
      </w:r>
      <w:bookmarkStart w:id="0" w:name="_GoBack"/>
      <w:bookmarkEnd w:id="0"/>
    </w:p>
    <w:p>
      <w:pPr>
        <w:pStyle w:val="1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center"/>
        <w:rPr>
          <w:rFonts w:hint="default" w:ascii="Times New Roman" w:hAnsi="Times New Roman" w:cs="Times New Roman"/>
          <w:sz w:val="40"/>
          <w:szCs w:val="40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</w:rPr>
        <w:t>З дисципліни «</w:t>
      </w:r>
      <w:r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  <w:lang w:val="uk-UA"/>
        </w:rPr>
        <w:t>Методи ройового інтелекту в прийнятті рішень</w:t>
      </w:r>
      <w:r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</w:rPr>
        <w:t>»</w:t>
      </w:r>
    </w:p>
    <w:p>
      <w:pPr>
        <w:pStyle w:val="1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</w:rPr>
        <w:t> на тему «</w:t>
      </w:r>
      <w:r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  <w:lang w:val="uk-UA"/>
        </w:rPr>
        <w:t>Метод аналізу ієрархій (МАІ)</w:t>
      </w:r>
      <w:r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</w:rPr>
        <w:t>»</w:t>
      </w:r>
    </w:p>
    <w:p>
      <w:pPr>
        <w:pStyle w:val="1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  <w:lang w:val="en-US"/>
        </w:rPr>
        <w:t>1</w:t>
      </w:r>
      <w:r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</w:rPr>
        <w:t xml:space="preserve"> варіант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1"/>
        <w:gridCol w:w="2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vertAlign w:val="baseline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vertAlign w:val="baseline"/>
                <w:lang w:val="uk-UA" w:eastAsia="zh-CN" w:bidi="ar"/>
              </w:rPr>
              <w:t>Перевірила:</w:t>
            </w: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vertAlign w:val="baseline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vertAlign w:val="baseline"/>
                <w:lang w:val="uk-UA" w:eastAsia="zh-CN" w:bidi="ar"/>
              </w:rPr>
              <w:t>Виконав: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Жураковська О.С.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студент гр. ІС-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uk-UA"/>
              </w:rPr>
              <w:t>0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1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uk-UA"/>
              </w:rPr>
              <w:t>Адамов Д.І.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</w:tr>
    </w:tbl>
    <w:p>
      <w:r>
        <w:rPr>
          <w:rFonts w:ascii="Times New Roman" w:hAnsi="Times New Roman" w:eastAsia="Times New Roman" w:cs="Times New Roman"/>
          <w:b/>
          <w:sz w:val="28"/>
          <w:szCs w:val="28"/>
        </w:rPr>
        <w:br w:type="page"/>
      </w:r>
    </w:p>
    <w:p>
      <w:pPr>
        <w:spacing w:before="240" w:after="240" w:line="360" w:lineRule="auto"/>
      </w:pPr>
    </w:p>
    <w:p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Практикум №1</w:t>
      </w:r>
    </w:p>
    <w:p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Варіант № 1</w:t>
      </w:r>
    </w:p>
    <w:p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Завдання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Група експертів повинна визначити розподіл інвестицій для реалізації множини проектів, які розглядаються як множина альтернатив. Для визначення впливу альтернатив на досягнення мети сформульована множина критеріїв.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відповідності з номером варіанта у вхідному файлі задано:</w:t>
      </w:r>
    </w:p>
    <w:p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розмірність задачі: кількість експертів, кількість критеріїв та кількість альтернатив; </w:t>
      </w:r>
    </w:p>
    <w:p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матриці парних порівнянь (МПП) елементів кожного рівня ієрархії, яка відповідає декомпозиції цієї проблеми. </w:t>
      </w:r>
    </w:p>
    <w:p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Необхідно вирішити проблему за допомогою метода аналізу ієрархій. Зміст звіту: </w:t>
      </w:r>
    </w:p>
    <w:p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ієрархія, що відповідає вхідним даним згідно варіанту; </w:t>
      </w:r>
    </w:p>
    <w:p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основні теоретичні відомості – співвідношення та методи, що використані в процесі розв’язання задачі; </w:t>
      </w:r>
    </w:p>
    <w:p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виконати оцінку узгодженості переваг експертів: для кожної МПП необхідно визначити індекс та відношення узгодженості (максимальне власне число, CI, CR) та зробити висновок про можливість використання локальних пріоритетів, визначених за цією матрицею. У випадку неузгодженості – коригування матриці для отримання узгодженої. Визначити за МПП локальні пріоритети (вагові коефіцієнти). Для однієї з матриць процес отримання усіх результатів розписати з поясненнями та детально, для решти – тільки результати; </w:t>
      </w:r>
    </w:p>
    <w:p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обчислення вагових коефіцієнтів альтернатив (глобальних пріоритетів), з поясненнями; </w:t>
      </w:r>
    </w:p>
    <w:p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висновок – як можна вирішити поставлену задачу із використанням результатів, отриманим за допомогою МАІ.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Хід роботи</w:t>
      </w:r>
    </w:p>
    <w:p>
      <w:pPr>
        <w:pStyle w:val="27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Ієрархія, що відповідає вхідним даним згідно варіанту.</w:t>
      </w:r>
    </w:p>
    <w:p>
      <w:pPr>
        <w:pStyle w:val="2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730240" cy="1844040"/>
            <wp:effectExtent l="0" t="0" r="0" b="3810"/>
            <wp:docPr id="12068249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24924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Основні теоретичні відомості – співвідношення та методи, що використані в процесі розв’язання задачі.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Обчислення максимального характеристичного числа матриці А проведемо за допомогою метода простої векторної ітерації. Для цього необхідно побудувати векторну послідовність: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m+1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cs="Times New Roman"/>
            <w:sz w:val="28"/>
            <w:szCs w:val="28"/>
          </w:rPr>
          <m:t>=A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m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m+1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0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</m:sSup>
      </m:oMath>
      <w:r>
        <w:rPr>
          <w:rFonts w:ascii="Times New Roman" w:hAnsi="Times New Roman" w:cs="Times New Roman" w:eastAsiaTheme="minorEastAsia"/>
          <w:sz w:val="28"/>
          <w:szCs w:val="28"/>
        </w:rPr>
        <w:t>,</w:t>
      </w:r>
    </w:p>
    <w:p>
      <w:pPr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де </w:t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0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up>
        </m:sSup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– заданий. Тоді максимальне характеристичне число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λ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max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визначається так:</w:t>
      </w:r>
    </w:p>
    <w:p>
      <w:pPr>
        <w:jc w:val="both"/>
        <w:rPr>
          <w:rFonts w:ascii="Times New Roman" w:hAnsi="Times New Roman" w:cs="Times New Roman"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</w:rPr>
                <m:t>λ</m:t>
              </m: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</w:rPr>
                <m:t>max</m:t>
              </m: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cs="Times New Roman" w:eastAsiaTheme="minorEastAsia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limLow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e>
                <m:lim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m→∞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lim>
              </m:limLow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t>i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t>m+1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sup>
                  </m:sSubSup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t>i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t>m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sup>
                  </m:sSubSup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e>
          </m:func>
        </m:oMath>
      </m:oMathPara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Показник ступеня узгодженості елементів матриці D - індекс узгодженості (consistency index, CI):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/>
            <w:rPr>
              <w:rFonts w:ascii="Cambria Math" w:hAnsi="Cambria Math" w:cs="Times New Roman"/>
              <w:sz w:val="28"/>
              <w:szCs w:val="28"/>
            </w:rPr>
            <m:t>C</m:t>
          </m:r>
          <m:r>
            <m:rPr/>
            <w:rPr>
              <w:rFonts w:ascii="Cambria Math" w:hAnsi="Cambria Math" w:cs="Times New Roman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m:t>I=(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14:textFill>
                    <w14:solidFill>
                      <w14:schemeClr w14:val="tx1"/>
                    </w14:solidFill>
                  </w14:textFill>
                </w:rPr>
                <m:t>λ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14:textFill>
                    <w14:solidFill>
                      <w14:schemeClr w14:val="tx1"/>
                    </w14:solidFill>
                  </w14:textFill>
                </w:rPr>
                <m:t>max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m:rPr/>
            <w:rPr>
              <w:rFonts w:ascii="Cambria Math" w:hAnsi="Cambria Math" w:cs="Times New Roman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m:t>−k/(k−1))</m:t>
          </m:r>
        </m:oMath>
      </m:oMathPara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Індекс узгодженості оцінює «ступінь невиконання» властивості узгодженості. Вважається, що при CI≤0,1 ступінь «неузгодженості» прийнятний і побудована МПП може бути використана для визначення вектора ваг альтернатив. Інакше рекомендується запропонувати експерту уточнити елементи матриці D.</w:t>
      </w:r>
    </w:p>
    <w:p>
      <w:pPr>
        <w:spacing w:before="240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Для оцінки достатності ступеня узгодженості використовується відношення узгодженості (consistency ratio, CR): </w:t>
      </w:r>
    </w:p>
    <w:p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m:oMath>
        <m:r>
          <m:rPr/>
          <w:rPr>
            <w:rFonts w:ascii="Cambria Math" w:hAnsi="Cambria Math" w:cs="Times New Roman"/>
            <w:color w:val="000000" w:themeColor="text1"/>
            <w:sz w:val="28"/>
            <w:szCs w:val="28"/>
            <w14:textFill>
              <w14:solidFill>
                <w14:schemeClr w14:val="tx1"/>
              </w14:solidFill>
            </w14:textFill>
          </w:rPr>
          <m:t>CR=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m:t>CI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m:t>CIS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,</w:t>
      </w:r>
    </w:p>
    <w:p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де CIS – середнє значення CR, обчислених для великої кількості випадковим чином згенерованих матриць парних порівнянь в фундаментальній шкалі, які задовольняють умові.</w:t>
      </w:r>
    </w:p>
    <w:p>
      <w:pPr>
        <w:spacing w:before="240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Значення CIS:</w:t>
      </w:r>
    </w:p>
    <w:p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distT="0" distB="0" distL="0" distR="0">
            <wp:extent cx="5879465" cy="845185"/>
            <wp:effectExtent l="0" t="0" r="0" b="0"/>
            <wp:docPr id="1" name="Рисунок 1" descr="Зображення, що містить текст, Шрифт, ряд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, Шрифт, ряд, число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10"/>
                    <a:srcRect l="390" t="3942" r="602"/>
                    <a:stretch>
                      <a:fillRect/>
                    </a:stretch>
                  </pic:blipFill>
                  <pic:spPr>
                    <a:xfrm>
                      <a:off x="0" y="0"/>
                      <a:ext cx="5881540" cy="8460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Наведемо деталізований приклад для розрахунку ступеня узгодженості МПП альтернатив за 1-им критерієм 1-го експерта: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733415" cy="2600325"/>
            <wp:effectExtent l="0" t="0" r="635" b="9525"/>
            <wp:docPr id="842374839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74839" name="Рисунок 1" descr="Зображення, що містить текст, знімок екрана, Шрифт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733415" cy="1007745"/>
            <wp:effectExtent l="0" t="0" r="635" b="1905"/>
            <wp:docPr id="2032424317" name="Рисунок 1" descr="Зображення, що містить текст, Шрифт, знімок екрана, типограф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24317" name="Рисунок 1" descr="Зображення, що містить текст, Шрифт, знімок екрана, типографія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4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Бачимо, що значення CI та CR значно менші за 0.1, отже можемо використовувати </w:t>
      </w:r>
      <w:r>
        <w:rPr>
          <w:sz w:val="28"/>
          <w:szCs w:val="28"/>
        </w:rPr>
        <w:t>матрицю для визначення вектору ваг альтернатив.</w:t>
      </w:r>
    </w:p>
    <w:p>
      <w:pPr>
        <w:pStyle w:val="14"/>
        <w:spacing w:before="0" w:beforeAutospacing="0" w:after="0" w:afterAutospacing="0" w:line="276" w:lineRule="auto"/>
        <w:textAlignment w:val="baseline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Обчислимо локальні вагові коефіцієнти методом середніх геометричних:</w:t>
      </w:r>
    </w:p>
    <w:p>
      <w:pPr>
        <w:pStyle w:val="14"/>
        <w:spacing w:before="0" w:beforeAutospacing="0" w:after="0" w:afterAutospacing="0"/>
        <w:textAlignment w:val="baseline"/>
        <w:rPr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Обчислити </w:t>
      </w:r>
      <w:r>
        <w:rPr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Ɐi = (1, …, k):</w:t>
      </w:r>
    </w:p>
    <w:p>
      <w:pPr>
        <w:pStyle w:val="14"/>
        <w:spacing w:before="0" w:beforeAutospacing="0" w:after="0" w:afterAutospacing="0"/>
        <w:textAlignment w:val="baseline"/>
        <w:rPr>
          <w:bCs/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000000"/>
                  <w:sz w:val="28"/>
                  <w:szCs w:val="28"/>
                </w:rPr>
                <m:t>v</m:t>
              </m: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color w:val="000000"/>
              <w:sz w:val="28"/>
              <w:szCs w:val="28"/>
            </w:rPr>
            <m:t>=</m:t>
          </m:r>
          <m:rad>
            <m:rad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radPr>
            <m:deg>
              <m:r>
                <m:rPr/>
                <w:rPr>
                  <w:rFonts w:ascii="Cambria Math" w:hAnsi="Cambria Math"/>
                  <w:color w:val="000000"/>
                  <w:sz w:val="28"/>
                  <w:szCs w:val="28"/>
                </w:rPr>
                <m:t>k</m:t>
              </m: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deg>
            <m:e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j=1</m:t>
                  </m: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k</m:t>
                  </m: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ij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e>
              </m:nary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e>
          </m:rad>
        </m:oMath>
      </m:oMathPara>
    </w:p>
    <w:p>
      <w:pPr>
        <w:pStyle w:val="14"/>
        <w:spacing w:before="240" w:beforeAutospacing="0" w:after="0" w:afterAutospacing="0"/>
        <w:textAlignment w:val="baseline"/>
        <w:rPr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Здійснити нормування </w:t>
      </w:r>
      <w:r>
        <w:rPr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Ɐi = (1, …, k):</w:t>
      </w:r>
    </w:p>
    <w:p>
      <w:pPr>
        <w:pStyle w:val="14"/>
        <w:spacing w:before="0" w:beforeAutospacing="0" w:after="0" w:afterAutospacing="0"/>
        <w:textAlignment w:val="baseline"/>
        <w:rPr>
          <w:bCs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000000"/>
                  <w:sz w:val="28"/>
                  <w:szCs w:val="28"/>
                </w:rPr>
                <m:t>ω</m:t>
              </m: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000000"/>
                  <w:sz w:val="28"/>
                  <w:szCs w:val="28"/>
                </w:rPr>
                <m:t>v</m:t>
              </m: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color w:val="000000"/>
              <w:sz w:val="28"/>
              <w:szCs w:val="28"/>
            </w:rPr>
            <m:t>/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m:rPr/>
                <w:rPr>
                  <w:rFonts w:ascii="Cambria Math" w:hAnsi="Cambria Math"/>
                  <w:color w:val="000000"/>
                  <w:sz w:val="28"/>
                  <w:szCs w:val="28"/>
                </w:rPr>
                <m:t>j=1</m:t>
              </m: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/>
                  <w:color w:val="000000"/>
                  <w:sz w:val="28"/>
                  <w:szCs w:val="28"/>
                </w:rPr>
                <m:t>k</m:t>
              </m: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v</m:t>
                  </m: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j</m:t>
                  </m: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e>
          </m:nary>
        </m:oMath>
      </m:oMathPara>
    </w:p>
    <w:p>
      <w:pPr>
        <w:pStyle w:val="14"/>
        <w:spacing w:before="0" w:beforeAutospacing="0" w:after="0" w:afterAutospacing="0"/>
        <w:textAlignment w:val="baseline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Отримано вектор відносних ваг:</w:t>
      </w:r>
    </w:p>
    <w:p>
      <w:pPr>
        <w:pStyle w:val="14"/>
        <w:spacing w:before="0" w:beforeAutospacing="0" w:after="0" w:afterAutospacing="0"/>
        <w:textAlignment w:val="baseline"/>
        <w:rPr>
          <w:bCs/>
          <w:i/>
          <w:color w:val="000000"/>
          <w:sz w:val="28"/>
          <w:szCs w:val="28"/>
        </w:rPr>
      </w:pPr>
      <m:oMathPara>
        <m:oMath>
          <m:r>
            <m:rPr/>
            <w:rPr>
              <w:rFonts w:ascii="Cambria Math" w:hAnsi="Cambria Math"/>
              <w:color w:val="000000"/>
              <w:sz w:val="28"/>
              <w:szCs w:val="28"/>
            </w:rPr>
            <m:t>W=</m:t>
          </m:r>
          <m:sSup>
            <m:sSup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/>
                  <w:color w:val="000000"/>
                  <w:sz w:val="28"/>
                  <w:szCs w:val="28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ω</m:t>
                  </m: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/>
                  <w:color w:val="000000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ω</m:t>
                  </m: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/>
                  <w:color w:val="000000"/>
                  <w:sz w:val="28"/>
                  <w:szCs w:val="28"/>
                </w:rPr>
                <m:t>,..,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ω</m:t>
                  </m: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k</m:t>
                  </m: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/>
                  <w:color w:val="000000"/>
                  <w:sz w:val="28"/>
                  <w:szCs w:val="28"/>
                </w:rPr>
                <m:t>]</m:t>
              </m: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/>
                  <w:color w:val="000000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sup>
          </m:sSup>
        </m:oMath>
      </m:oMathPara>
    </w:p>
    <w:p>
      <w:pPr>
        <w:pStyle w:val="14"/>
        <w:spacing w:before="0" w:beforeAutospacing="0" w:after="0" w:afterAutospacing="0"/>
        <w:textAlignment w:val="baseline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Для того ж прикладу: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733415" cy="1028700"/>
            <wp:effectExtent l="0" t="0" r="635" b="0"/>
            <wp:docPr id="87633484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34846" name="Рисунок 1" descr="Зображення, що містить текст, знімок екрана, Шрифт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14"/>
        <w:spacing w:before="0" w:beforeAutospacing="0" w:after="24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Результати обчислень усіх інших МПП: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5067935" cy="1276350"/>
            <wp:effectExtent l="0" t="0" r="0" b="0"/>
            <wp:docPr id="2074589763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89763" name="Рисунок 1" descr="Зображення, що містить текст, Шрифт, знімок екрана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4572000" cy="340995"/>
            <wp:effectExtent l="0" t="0" r="0" b="1905"/>
            <wp:docPr id="1404891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91783" name="Рисунок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5834" cy="34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4572000" cy="4467225"/>
            <wp:effectExtent l="0" t="0" r="0" b="9525"/>
            <wp:docPr id="141664257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42576" name="Рисунок 1" descr="Зображення, що містить текст, знімок екрана, Шрифт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6764" cy="447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5733415" cy="6847840"/>
            <wp:effectExtent l="0" t="0" r="635" b="0"/>
            <wp:docPr id="710425347" name="Рисунок 1" descr="Зображення, що містить текст, знімок екрана, Шрифт, меню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25347" name="Рисунок 1" descr="Зображення, що містить текст, знімок екрана, Шрифт, меню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8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5733415" cy="6939915"/>
            <wp:effectExtent l="0" t="0" r="635" b="0"/>
            <wp:docPr id="1353241494" name="Рисунок 1" descr="Зображення, що містить текст, знімок екрана, Шрифт, меню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41494" name="Рисунок 1" descr="Зображення, що містить текст, знімок екрана, Шрифт, меню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93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5733415" cy="6501130"/>
            <wp:effectExtent l="0" t="0" r="635" b="0"/>
            <wp:docPr id="428599743" name="Рисунок 1" descr="Зображення, що містить текст, знімок екрана, Шрифт, меню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99743" name="Рисунок 1" descr="Зображення, що містить текст, знімок екрана, Шрифт, меню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5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Обчислення глобальних пріоритетів:</w:t>
      </w:r>
    </w:p>
    <w:p>
      <w:pPr>
        <w:jc w:val="center"/>
        <w:rPr>
          <w:rFonts w:ascii="Times New Roman" w:hAnsi="Times New Roman" w:cs="Times New Roman"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p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i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s=1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t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&lt;s&gt;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nary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j=1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m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&lt;s&gt;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nary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ω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j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&lt;s&gt;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</m:sSubSup>
      </m:oMath>
      <w:r>
        <w:rPr>
          <w:rFonts w:ascii="Times New Roman" w:hAnsi="Times New Roman" w:cs="Times New Roman" w:eastAsiaTheme="minorEastAsia"/>
          <w:sz w:val="28"/>
          <w:szCs w:val="28"/>
        </w:rPr>
        <w:t>,</w:t>
      </w:r>
    </w:p>
    <w:p>
      <w:pPr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де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k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&lt;s&gt;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</m:sSup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коефіцієнт впливовості учасника s,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ω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j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&lt;s&gt;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</m:sSubSup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- локальний ваговий коефіцієнт важливості критерія Kj для учасника s,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&lt;s&gt;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</m:sSup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- локальний ваговий коефіцієнт альтернативи Аi по відношенню до критерія Kj для учасника s </w:t>
      </w:r>
    </w:p>
    <w:p>
      <w:pPr>
        <w:jc w:val="both"/>
        <w:rPr>
          <w:rFonts w:eastAsiaTheme="minorEastAsia"/>
          <w:sz w:val="28"/>
          <w:szCs w:val="28"/>
        </w:rPr>
      </w:pPr>
    </w:p>
    <w:p>
      <w:pPr>
        <w:jc w:val="center"/>
        <w:rPr>
          <w:rFonts w:eastAsiaTheme="minorEastAsia"/>
          <w:sz w:val="28"/>
          <w:szCs w:val="28"/>
        </w:rPr>
      </w:pPr>
    </w:p>
    <w:p>
      <w:pPr>
        <w:pStyle w:val="1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Глобальні пріоритети експертів реалізуються таким чином: рядок-вектор локальних вагових коефіцієнтів критеріїв для експерта W, помножені на матрицю локальних вагових коефіцієнтів альтернатив по кожному критерію P: W*P.</w:t>
      </w:r>
    </w:p>
    <w:p>
      <w:pPr>
        <w:pStyle w:val="14"/>
        <w:spacing w:before="0" w:beforeAutospacing="0" w:after="24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Приклад наведений для Експерта-1:</w:t>
      </w:r>
    </w:p>
    <w:tbl>
      <w:tblPr>
        <w:tblStyle w:val="9"/>
        <w:tblW w:w="9019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1080"/>
        <w:gridCol w:w="1060"/>
        <w:gridCol w:w="1080"/>
        <w:gridCol w:w="1060"/>
        <w:gridCol w:w="1180"/>
        <w:gridCol w:w="1180"/>
        <w:gridCol w:w="1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Крит. 1</w:t>
            </w:r>
          </w:p>
        </w:tc>
        <w:tc>
          <w:tcPr>
            <w:tcW w:w="106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Крит. 2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Крит. 3</w:t>
            </w:r>
          </w:p>
        </w:tc>
        <w:tc>
          <w:tcPr>
            <w:tcW w:w="106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Крит. 4</w:t>
            </w:r>
          </w:p>
        </w:tc>
        <w:tc>
          <w:tcPr>
            <w:tcW w:w="118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Крит. 5</w:t>
            </w:r>
          </w:p>
        </w:tc>
        <w:tc>
          <w:tcPr>
            <w:tcW w:w="118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Крит. 6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Глоб. пріор.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96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ω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0.396844</w:t>
            </w:r>
          </w:p>
        </w:tc>
        <w:tc>
          <w:tcPr>
            <w:tcW w:w="106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0.204544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0.044671</w:t>
            </w:r>
          </w:p>
        </w:tc>
        <w:tc>
          <w:tcPr>
            <w:tcW w:w="1060" w:type="dxa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0.084408</w:t>
            </w:r>
          </w:p>
        </w:tc>
        <w:tc>
          <w:tcPr>
            <w:tcW w:w="1180" w:type="dxa"/>
            <w:tcBorders>
              <w:top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0.064989</w:t>
            </w:r>
          </w:p>
        </w:tc>
        <w:tc>
          <w:tcPr>
            <w:tcW w:w="11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0.204544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96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Альт. 1</w:t>
            </w:r>
          </w:p>
        </w:tc>
        <w:tc>
          <w:tcPr>
            <w:tcW w:w="108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0.387900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0.41001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0.37724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0.51806</w:t>
            </w:r>
          </w:p>
        </w:tc>
        <w:tc>
          <w:tcPr>
            <w:tcW w:w="1180" w:type="dxa"/>
            <w:tcBorders>
              <w:top w:val="nil"/>
              <w:bottom w:val="nil"/>
              <w:right w:val="nil"/>
            </w:tcBorders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0.438318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0.366043</w:t>
            </w:r>
          </w:p>
        </w:tc>
        <w:tc>
          <w:tcPr>
            <w:tcW w:w="141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0.401733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96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Альт. 2</w:t>
            </w:r>
          </w:p>
        </w:tc>
        <w:tc>
          <w:tcPr>
            <w:tcW w:w="108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0.067800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0.037135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0.04803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0.044181</w:t>
            </w:r>
          </w:p>
        </w:tc>
        <w:tc>
          <w:tcPr>
            <w:tcW w:w="1180" w:type="dxa"/>
            <w:tcBorders>
              <w:top w:val="nil"/>
              <w:bottom w:val="nil"/>
              <w:right w:val="nil"/>
            </w:tcBorders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0.069064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0.1907</w:t>
            </w:r>
          </w:p>
        </w:tc>
        <w:tc>
          <w:tcPr>
            <w:tcW w:w="141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0.083852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96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Альт. 3</w:t>
            </w:r>
          </w:p>
        </w:tc>
        <w:tc>
          <w:tcPr>
            <w:tcW w:w="108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0.094100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0.059052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0.079212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0.129342</w:t>
            </w:r>
          </w:p>
        </w:tc>
        <w:tc>
          <w:tcPr>
            <w:tcW w:w="1180" w:type="dxa"/>
            <w:tcBorders>
              <w:top w:val="nil"/>
              <w:bottom w:val="nil"/>
              <w:right w:val="nil"/>
            </w:tcBorders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0.161601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0.048117</w:t>
            </w:r>
          </w:p>
        </w:tc>
        <w:tc>
          <w:tcPr>
            <w:tcW w:w="141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0.084238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96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Альт. 4</w:t>
            </w:r>
          </w:p>
        </w:tc>
        <w:tc>
          <w:tcPr>
            <w:tcW w:w="108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0.154500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0.229617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0.04803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0.075135</w:t>
            </w:r>
          </w:p>
        </w:tc>
        <w:tc>
          <w:tcPr>
            <w:tcW w:w="1180" w:type="dxa"/>
            <w:tcBorders>
              <w:top w:val="nil"/>
              <w:bottom w:val="nil"/>
              <w:right w:val="nil"/>
            </w:tcBorders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0.046477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0.034366</w:t>
            </w:r>
          </w:p>
        </w:tc>
        <w:tc>
          <w:tcPr>
            <w:tcW w:w="141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0.126798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96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Альт. 5</w:t>
            </w:r>
          </w:p>
        </w:tc>
        <w:tc>
          <w:tcPr>
            <w:tcW w:w="108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0.154500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0.059052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0.199729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0.075135</w:t>
            </w:r>
          </w:p>
        </w:tc>
        <w:tc>
          <w:tcPr>
            <w:tcW w:w="1180" w:type="dxa"/>
            <w:tcBorders>
              <w:top w:val="nil"/>
              <w:bottom w:val="nil"/>
              <w:right w:val="nil"/>
            </w:tcBorders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0.095406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0.101972</w:t>
            </w:r>
          </w:p>
        </w:tc>
        <w:tc>
          <w:tcPr>
            <w:tcW w:w="141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0.115695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96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Альт. 6</w:t>
            </w:r>
          </w:p>
        </w:tc>
        <w:tc>
          <w:tcPr>
            <w:tcW w:w="108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0.047200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0.146084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0.04803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0.103376</w:t>
            </w:r>
          </w:p>
        </w:tc>
        <w:tc>
          <w:tcPr>
            <w:tcW w:w="1180" w:type="dxa"/>
            <w:tcBorders>
              <w:top w:val="nil"/>
              <w:bottom w:val="nil"/>
              <w:right w:val="nil"/>
            </w:tcBorders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0.069064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0.068102</w:t>
            </w:r>
          </w:p>
        </w:tc>
        <w:tc>
          <w:tcPr>
            <w:tcW w:w="141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0.077892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961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Альт. 7</w:t>
            </w:r>
          </w:p>
        </w:tc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0.094100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0.059052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0.199729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0.054771</w:t>
            </w:r>
          </w:p>
        </w:tc>
        <w:tc>
          <w:tcPr>
            <w:tcW w:w="1180" w:type="dxa"/>
            <w:tcBorders>
              <w:top w:val="nil"/>
              <w:bottom w:val="single" w:color="auto" w:sz="4" w:space="0"/>
              <w:right w:val="nil"/>
            </w:tcBorders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0.120069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0.1907</w:t>
            </w:r>
          </w:p>
        </w:tc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0.109793</w:t>
            </w:r>
          </w:p>
        </w:tc>
      </w:tr>
    </w:tbl>
    <w:p>
      <w:pPr>
        <w:jc w:val="both"/>
        <w:rPr>
          <w:rFonts w:eastAsiaTheme="minorEastAsia"/>
          <w:sz w:val="28"/>
          <w:szCs w:val="28"/>
        </w:rPr>
      </w:pPr>
    </w:p>
    <w:p>
      <w:pPr>
        <w:pStyle w:val="14"/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Остаточну формулу інтерпретуємо  як множення матриць, рядок-вектор локальні вагові коефіцієнти експертів - K помножених на створену матрицю локальних вагових коефіцієнтів альтернатив для кожного експерта – T: K*T.</w:t>
      </w:r>
    </w:p>
    <w:tbl>
      <w:tblPr>
        <w:tblStyle w:val="9"/>
        <w:tblW w:w="7249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3"/>
        <w:gridCol w:w="1151"/>
        <w:gridCol w:w="1263"/>
        <w:gridCol w:w="1264"/>
        <w:gridCol w:w="1264"/>
        <w:gridCol w:w="13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Експерт 1</w:t>
            </w:r>
          </w:p>
        </w:tc>
        <w:tc>
          <w:tcPr>
            <w:tcW w:w="126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Експерт 2</w:t>
            </w:r>
          </w:p>
        </w:tc>
        <w:tc>
          <w:tcPr>
            <w:tcW w:w="126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Експерт 3</w:t>
            </w:r>
          </w:p>
        </w:tc>
        <w:tc>
          <w:tcPr>
            <w:tcW w:w="126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Експерт 4</w:t>
            </w:r>
          </w:p>
        </w:tc>
        <w:tc>
          <w:tcPr>
            <w:tcW w:w="13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Глоб. пріор.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9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ω</w:t>
            </w:r>
          </w:p>
        </w:tc>
        <w:tc>
          <w:tcPr>
            <w:tcW w:w="115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0.42344</w:t>
            </w:r>
          </w:p>
        </w:tc>
        <w:tc>
          <w:tcPr>
            <w:tcW w:w="126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0.04674</w:t>
            </w:r>
          </w:p>
        </w:tc>
        <w:tc>
          <w:tcPr>
            <w:tcW w:w="126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0.09006</w:t>
            </w:r>
          </w:p>
        </w:tc>
        <w:tc>
          <w:tcPr>
            <w:tcW w:w="12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0.14144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953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Альт. 1</w:t>
            </w:r>
          </w:p>
        </w:tc>
        <w:tc>
          <w:tcPr>
            <w:tcW w:w="115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0.401733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0.362586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0.439894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0.396396</w:t>
            </w:r>
          </w:p>
        </w:tc>
        <w:tc>
          <w:tcPr>
            <w:tcW w:w="135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0.406232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953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Альт. 2</w:t>
            </w:r>
          </w:p>
        </w:tc>
        <w:tc>
          <w:tcPr>
            <w:tcW w:w="115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0.083852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0.143439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0.061377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0.05895</w:t>
            </w:r>
          </w:p>
        </w:tc>
        <w:tc>
          <w:tcPr>
            <w:tcW w:w="135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0.07761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953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Альт. 3</w:t>
            </w:r>
          </w:p>
        </w:tc>
        <w:tc>
          <w:tcPr>
            <w:tcW w:w="115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0.084238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0.07284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0.080313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0.120198</w:t>
            </w:r>
          </w:p>
        </w:tc>
        <w:tc>
          <w:tcPr>
            <w:tcW w:w="135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0.090825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953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Альт. 4</w:t>
            </w:r>
          </w:p>
        </w:tc>
        <w:tc>
          <w:tcPr>
            <w:tcW w:w="115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0.126798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0.124449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0.123997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0.069584</w:t>
            </w:r>
          </w:p>
        </w:tc>
        <w:tc>
          <w:tcPr>
            <w:tcW w:w="135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0.112517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953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Альт. 5</w:t>
            </w:r>
          </w:p>
        </w:tc>
        <w:tc>
          <w:tcPr>
            <w:tcW w:w="115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0.115695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0.055802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0.13135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0.158051</w:t>
            </w:r>
          </w:p>
        </w:tc>
        <w:tc>
          <w:tcPr>
            <w:tcW w:w="135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0.124408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953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Альт. 6</w:t>
            </w:r>
          </w:p>
        </w:tc>
        <w:tc>
          <w:tcPr>
            <w:tcW w:w="115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0.077892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0.096415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0.085558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0.134956</w:t>
            </w:r>
          </w:p>
        </w:tc>
        <w:tc>
          <w:tcPr>
            <w:tcW w:w="135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0.094604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953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Альт. 7</w:t>
            </w:r>
          </w:p>
        </w:tc>
        <w:tc>
          <w:tcPr>
            <w:tcW w:w="1151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0.109793</w:t>
            </w:r>
          </w:p>
        </w:tc>
        <w:tc>
          <w:tcPr>
            <w:tcW w:w="126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0.144468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0.077511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0.061866</w:t>
            </w:r>
          </w:p>
        </w:tc>
        <w:tc>
          <w:tcPr>
            <w:tcW w:w="13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0.093803</w:t>
            </w:r>
          </w:p>
        </w:tc>
      </w:tr>
    </w:tbl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spacing w:before="240" w:after="240"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Висновок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Після проведення сортування глобальних вагових коефіцієнтів та ранжування альтернатив, було визначено, що найкращою альтернативою є перша.</w:t>
      </w:r>
    </w:p>
    <w:p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474970" cy="859790"/>
            <wp:effectExtent l="0" t="0" r="0" b="0"/>
            <wp:docPr id="870712820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12820" name="Рисунок 1" descr="Зображення, що містить текст, знімок екрана, Шрифт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8194" cy="86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допомогою методу аналізу ієрархій інвестиційний капітал може бути розподілений між 6 проєктами. Тобто: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1 проєкт – 40,62% від загального капіталу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5 проєкт – 12,44%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4 проєкт – 11,3 %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6 проєкт – 9,5%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7 проєкт – 9,3%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3 проєкт – 9,08%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2 проєкт – 7,76%</w:t>
      </w:r>
    </w:p>
    <w:sectPr>
      <w:footerReference r:id="rId7" w:type="first"/>
      <w:headerReference r:id="rId5" w:type="default"/>
      <w:footerReference r:id="rId6" w:type="default"/>
      <w:pgSz w:w="11909" w:h="16834"/>
      <w:pgMar w:top="850" w:right="1440" w:bottom="284" w:left="1440" w:header="720" w:footer="72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line="240" w:lineRule="auto"/>
      <w:jc w:val="center"/>
      <w:rPr>
        <w:rFonts w:ascii="Times New Roman" w:hAnsi="Times New Roman" w:eastAsia="Times New Roman" w:cs="Times New Roman"/>
        <w:b/>
        <w:color w:val="000000"/>
        <w:sz w:val="28"/>
        <w:szCs w:val="28"/>
      </w:rPr>
    </w:pPr>
    <w:r>
      <w:rPr>
        <w:rFonts w:ascii="Times New Roman" w:hAnsi="Times New Roman" w:eastAsia="Times New Roman" w:cs="Times New Roman"/>
        <w:b/>
        <w:color w:val="000000"/>
        <w:sz w:val="28"/>
        <w:szCs w:val="28"/>
      </w:rPr>
      <w:t>Київ 202</w:t>
    </w:r>
    <w:r>
      <w:rPr>
        <w:rFonts w:ascii="Times New Roman" w:hAnsi="Times New Roman" w:eastAsia="Times New Roman" w:cs="Times New Roman"/>
        <w:b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30534C"/>
    <w:multiLevelType w:val="multilevel"/>
    <w:tmpl w:val="2D30534C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409"/>
    <w:rsid w:val="00114DC0"/>
    <w:rsid w:val="00210A6A"/>
    <w:rsid w:val="002B3DEF"/>
    <w:rsid w:val="003012A9"/>
    <w:rsid w:val="003B25D8"/>
    <w:rsid w:val="003F6A80"/>
    <w:rsid w:val="00464AA3"/>
    <w:rsid w:val="00481BE0"/>
    <w:rsid w:val="004833DA"/>
    <w:rsid w:val="005E27CA"/>
    <w:rsid w:val="006946C2"/>
    <w:rsid w:val="006F0409"/>
    <w:rsid w:val="007C63A7"/>
    <w:rsid w:val="00853AAF"/>
    <w:rsid w:val="00B00F54"/>
    <w:rsid w:val="00CC2D11"/>
    <w:rsid w:val="00DB166C"/>
    <w:rsid w:val="00DF5944"/>
    <w:rsid w:val="00E123C6"/>
    <w:rsid w:val="00F15C23"/>
    <w:rsid w:val="1CAF0342"/>
    <w:rsid w:val="5918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uk-UA" w:eastAsia="uk-UA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6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1">
    <w:name w:val="header"/>
    <w:basedOn w:val="1"/>
    <w:link w:val="25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2">
    <w:name w:val="HTML Preformatted"/>
    <w:basedOn w:val="1"/>
    <w:link w:val="2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3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5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table" w:styleId="16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8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">
    <w:name w:val="Table Normal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0">
    <w:name w:val="5"/>
    <w:basedOn w:val="1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4"/>
    <w:basedOn w:val="1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3"/>
    <w:basedOn w:val="1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"/>
    <w:basedOn w:val="1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1"/>
    <w:basedOn w:val="1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5">
    <w:name w:val="Верхній колонтитул Знак"/>
    <w:basedOn w:val="8"/>
    <w:link w:val="11"/>
    <w:qFormat/>
    <w:uiPriority w:val="99"/>
  </w:style>
  <w:style w:type="character" w:customStyle="1" w:styleId="26">
    <w:name w:val="Нижній колонтитул Знак"/>
    <w:basedOn w:val="8"/>
    <w:link w:val="10"/>
    <w:qFormat/>
    <w:uiPriority w:val="99"/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character" w:customStyle="1" w:styleId="28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9">
    <w:name w:val="Стандартний HTML Знак"/>
    <w:basedOn w:val="8"/>
    <w:link w:val="12"/>
    <w:semiHidden/>
    <w:qFormat/>
    <w:uiPriority w:val="99"/>
    <w:rPr>
      <w:rFonts w:ascii="Courier New" w:hAnsi="Courier New" w:eastAsia="Times New Roman" w:cs="Courier New"/>
      <w:sz w:val="20"/>
      <w:szCs w:val="20"/>
      <w:lang w:val="uk-UA" w:eastAsia="uk-UA"/>
    </w:rPr>
  </w:style>
  <w:style w:type="table" w:customStyle="1" w:styleId="30">
    <w:name w:val="_Style 27"/>
    <w:basedOn w:val="1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numbering" Target="numbering.xml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4pAPyhLxrUT3dMq39lb6pbq2VQ==">CgMxLjA4AHIhMXk2ZHlZN0Q2U0MySTdUcGFNX0tPdkJjUk4wbTdYTHUt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3851</Words>
  <Characters>2196</Characters>
  <Lines>18</Lines>
  <Paragraphs>12</Paragraphs>
  <TotalTime>7</TotalTime>
  <ScaleCrop>false</ScaleCrop>
  <LinksUpToDate>false</LinksUpToDate>
  <CharactersWithSpaces>6035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2022-09-08T19:10:00Z</dcterms:created>
  <dc:creator>Sophia Gogol</dc:creator>
  <cp:lastModifiedBy>melky</cp:lastModifiedBy>
  <dcterms:modified xsi:type="dcterms:W3CDTF">2024-03-26T10:31:19Z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3C7D65CDEE314C6D8E533962198D8C7A_12</vt:lpwstr>
  </property>
</Properties>
</file>