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Heading1"/>
      </w:pPr>
      <w:r>
        <w:t>Literatur</w:t>
      </w:r>
    </w:p>
    <w:p w:rsidR="00A77B3E">
      <w:pPr>
        <w:pStyle w:val="CitaviLiteraturverzeichnis"/>
      </w:pPr>
      <w:r>
        <w:rPr>
          <w:highlight w:val="none"/>
          <w:rtl w:val="0"/>
        </w:rPr>
        <w:t>https://link.springer.com/content/pdf/10.1007%2Fs00391-008-0543-x.pdf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APP4U Mehrwete druch Apps im B2B and B2C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A. Woll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KB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Wirkungen von Gesundheitssport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Bewegungstherapie und Gesundheitssport 2004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http://www.blv-online.de/fileadmin/files/pool/walking/studien/2010/walking/Wirkungen_Gesundheitssport.pdf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01.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Aichele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E-Business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Eine Übersicht für erfolgreiches B2B und B2C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Springer Fachmedien Wiesbaden; Imprint: Springer Vieweg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Wiesbaden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Aichele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Schönberger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</w:t>
      </w:r>
      <w:r>
        <w:rPr>
          <w:highlight w:val="none"/>
          <w:rtl w:val="0"/>
        </w:rPr>
        <w:t xml:space="preserve"> (</w:t>
      </w:r>
      <w:r>
        <w:rPr>
          <w:highlight w:val="none"/>
          <w:rtl w:val="0"/>
        </w:rPr>
        <w:t>Hrsg)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2014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App4U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Mehrwerte durch Apps im B2B und B2C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Springer Vieweg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Wiesbaden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Navigation Bar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https://developer.apple.com/ios/human-interface-guidelines/ui-bars/navigation-bars/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Color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https://developer.apple.com/ios/human-interface-guidelines/visual-design/color/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Maps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https://developer.apple.com/ios/human-interface-guidelines/ui-views/maps/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System Icons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https://developer.apple.com/ios/human-interface-guidelines/graphics/system-icons/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Layout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https://developer.apple.com/ios/human-interface-guidelines/visual-design/layout/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Launch Screen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https://developer.apple.com/ios/human-interface-guidelines/graphics/launch-screen/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Status Bar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https://developer.apple.com/ios/human-interface-guidelines/ui-bars/status-bars/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22.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Text Fields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https://developer.apple.com/ios/human-interface-guidelines/ui-controls/text-fields/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22.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Steppers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https://developer.apple.com/ios/human-interface-guidelines/ui-controls/steppers/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Buttons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https://developer.apple.com/ios/human-interface-guidelines/ui-controls/buttons/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Scroll Views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https://developer.apple.com/ios/human-interface-guidelines/ui-views/scroll-views/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Authentification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https://developer.apple.com/ios/human-interface-guidelines/interaction/authentication/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Pickers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https://developer.apple.com/ios/human-interface-guidelines/ui-controls/pickers/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Text Views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https://developer.apple.com/ios/human-interface-guidelines/ui-views/text-views/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Tables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https://developer.apple.com/ios/human-interface-guidelines/ui-views/tables/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Data Entry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https://developer.apple.com/ios/human-interface-guidelines/interaction/data-entry/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Guidslines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Feedback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https://developer.apple.com/ios/human-interface-guidelines/interaction/feedback/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Interfaces Guidelines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Sliders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https://developer.apple.com/ios/human-interface-guidelines/ui-controls/sliders/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22.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Apple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22.08.2017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Human Interface Guideline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Typography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https://developer.apple.com/ios/human-interface-guidelines/visual-design/typography/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Arnowitz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Arent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Berger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2007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Effective prototyping for software makers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Morgan Kaufmann/Elsevier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Amsterdam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Balzert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H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Lehrbuch der Softwaretechnik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Basiskonzepte und Requirements Engineering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Spektrum Akademischer Verlag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Heidelberg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Barry W. Boehm*, Terence E. Gray, and Thomas Seewaldt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PROTOTYPING VS. SPECIFYING: A MULTI-PROJECT EXPERIMENT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Beate Hartmann, Andree Teusch, Matthias Wolf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Spezifikation von funktionalen und nichtfunktionalen Systemanforderungen auf Basis von Geschäftsprozessmodellen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http://aisel.aisnet.org/cgi/viewcontent.cgi?article=1080&amp;context=wi2013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22.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Berenbrink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V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Purucker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J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Bahlinger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2013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Die Bedeutung von Wireframes in der agilen Softwareentwicklung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HMD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50</w:t>
      </w:r>
      <w:r>
        <w:rPr>
          <w:highlight w:val="none"/>
          <w:rtl w:val="0"/>
        </w:rPr>
        <w:t>:</w:t>
      </w:r>
      <w:r>
        <w:rPr>
          <w:highlight w:val="none"/>
          <w:rtl w:val="0"/>
        </w:rPr>
        <w:t>27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doi: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BF03340793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Brown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DM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Konzeption und Dokumentation erfolgreicher Webprojekte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Design und Planung von Websites strukturiert erstellen, dokumentieren und präsentieren ; [Anforderungs-Dokumente: User-Profile, Usability-Testpläne, Usability-Berichte ; Strategie-Dokumente: Wettbewerbsanalyse, Konzeptmodelle, Content-Verzeichnisse ; Design-Dokumente: Sitemaps, Flowcharts, Wireframes, Screen Designs]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mitp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Heidelberg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Dr. Martin Lucht, Rainer Bredenkamp, Studienzentrum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Gesundheit- und Versorgungs-Apps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Hintergründe zu deren Entwicklung und Einsatz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Universitätsklinikum Freiburg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https://www.tk.de/centaurus/servlet/contentblob/724464/Datei/143238/Studie-Gesundheits-und-Versorgungs-Apps.pdf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22.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Ebert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Systematisches Requirements-Engineering und Management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Anforderungen ermitteln, spezifizieren, analysieren und verwalten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dpunkt-Verl.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Heidelberg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eBusiness-Lotse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Von der Idee zur eigenen App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Ein praxisorientierter Leitfaden für Unternehmer mit Checkliste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http://ikt-forum.de/sites/default/files/Online-Version_Von_der_Idee_zur_eigenen_App.pdf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G. Pomberger, W. Pree, A. Stritzinger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Methoden und Werkzeuge für das Prototyping und ihre Integration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GEDA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GEDA 2012 Studie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Gesundheit in Deitschland aktuell 2012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http://www.rki.de/DE/Content/Gesundheitsmonitoring/Gesundheitsberichterstattung/GBEDownloadsF/Geda2012/Sportliche_Aktivitaet.pdf?__blob=publicationFile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GEDA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GEDA 2012 Studie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Gesundheit in Deitschland aktuell 2012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http://www.gbe-bund.de/pdf/GEDA_2012_gesundh_einschraenkungen.pdf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Hansmann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Eigenheer-Hug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S-M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Berset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Seeland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Erholungseffekte sportlicher Aktivitäten in stadtnahen Wäldern, Parks und Fitnessstudios | Restorative effects of sports activities in suburban forests, parks, and fitness centres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Swiss Forestry Journal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161</w:t>
      </w:r>
      <w:r>
        <w:rPr>
          <w:highlight w:val="none"/>
          <w:rtl w:val="0"/>
        </w:rPr>
        <w:t>:</w:t>
      </w:r>
      <w:r>
        <w:rPr>
          <w:highlight w:val="none"/>
          <w:rtl w:val="0"/>
        </w:rPr>
        <w:t>81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89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doi:</w:t>
      </w:r>
      <w:r>
        <w:rPr>
          <w:highlight w:val="none"/>
          <w:rtl w:val="0"/>
        </w:rPr>
        <w:t>10.3188/</w:t>
      </w:r>
      <w:r>
        <w:rPr>
          <w:highlight w:val="none"/>
          <w:rtl w:val="0"/>
        </w:rPr>
        <w:t>szf.2010.0081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Lampert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Mensink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GBM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Ziese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2005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Sport und Gesundheit bei Erwachsenen in Deutschland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Bundesgesundheitsblatt, Gesundheitsforschung, Gesundheitsschutz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48</w:t>
      </w:r>
      <w:r>
        <w:rPr>
          <w:highlight w:val="none"/>
          <w:rtl w:val="0"/>
        </w:rPr>
        <w:t>:</w:t>
      </w:r>
      <w:r>
        <w:rPr>
          <w:highlight w:val="none"/>
          <w:rtl w:val="0"/>
        </w:rPr>
        <w:t>1357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1364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doi: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s00103-005-1169-4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Pahmeier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I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2008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Sportliche Aktivität aus der Lebenslaufperspektive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Zeitschrift fur Gerontologie und Geriatrie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41</w:t>
      </w:r>
      <w:r>
        <w:rPr>
          <w:highlight w:val="none"/>
          <w:rtl w:val="0"/>
        </w:rPr>
        <w:t>:</w:t>
      </w:r>
      <w:r>
        <w:rPr>
          <w:highlight w:val="none"/>
          <w:rtl w:val="0"/>
        </w:rPr>
        <w:t>168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176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doi:</w:t>
      </w:r>
      <w:r>
        <w:rPr>
          <w:highlight w:val="none"/>
          <w:rtl w:val="0"/>
        </w:rPr>
        <w:t>10.1007/</w:t>
      </w:r>
      <w:r>
        <w:rPr>
          <w:highlight w:val="none"/>
          <w:rtl w:val="0"/>
        </w:rPr>
        <w:t>s00391-008-0543-x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Pohl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Rupp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C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Basiswissen Requirements Engineering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Aus- und Weiterbildung zum "Certified Professional for Requirements Engineering" ; Foundation Level nach IREB-Standard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dpunkt-Verl.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Heidelberg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Prof. Dr. Ingo Froböse, Dr. Birgit Wallmann-Sperlich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Der DKV Report „Wie gesund lebt Deutschland?“ 2016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file:///C:/Users/Kimngan/Downloads/20160808-DKV-Report-2016-Studienbericht.pdf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Robert Koch Institut Statisches Bundesamt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Körperliche Aktivität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https://campus.uni-muenster.de/fileadmin/einrichtung/epi/download/vorlesungen/Literatur/Gesundheitsberichterstattung_Koerperliche_Aktivitaet.pdf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Seibert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Hoffmann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M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Professionelles Webdesign mit (X)HTML und CSS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[</w:t>
      </w:r>
      <w:r>
        <w:rPr>
          <w:highlight w:val="none"/>
          <w:rtl w:val="0"/>
        </w:rPr>
        <w:t>standardkonformes Webdesign, accessibility und usability, Farbe, Grafik und Typografie]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Galileo Press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Bonn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Spitta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T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1989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Software Engineering und Prototyping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Eine Konstruktionslehre für administrative Softwaresysteme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Springer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Berlin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Heidelberg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Techniker Krankenkasse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2016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Beweg Dich, Deutschland!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TK-Bewegungsstudie 2016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https://www.tk.de/centaurus/servlet/contentblob/819848/Datei/3221/TK-Bewegungsstudie-2016-Beweg-dich-Deutschland.pdf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01. </w:t>
      </w:r>
      <w:r>
        <w:rPr>
          <w:highlight w:val="none"/>
          <w:rtl w:val="0"/>
        </w:rPr>
        <w:t>August 2017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World Health Organization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Physical Activitz and Adults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http://www.who.int/dietphysicalactivity/factsheet_adults/en/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Zugegriffen: </w:t>
      </w:r>
      <w:r>
        <w:rPr>
          <w:highlight w:val="none"/>
          <w:rtl w:val="0"/>
        </w:rPr>
        <w:t xml:space="preserve">01. </w:t>
      </w:r>
      <w:r>
        <w:rPr>
          <w:highlight w:val="none"/>
          <w:rtl w:val="0"/>
        </w:rPr>
        <w:t>August 2017</w:t>
      </w: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Literaturverzeichnis">
    <w:name w:val="Citavi Literaturverzeichnis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