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  <w:sz w:val="72"/>
          <w:szCs w:val="72"/>
          <w:lang w:val="en-US" w:eastAsia="zh-CN"/>
        </w:rPr>
      </w:pPr>
    </w:p>
    <w:p>
      <w:pPr>
        <w:bidi w:val="0"/>
        <w:rPr>
          <w:rFonts w:hint="eastAsia"/>
          <w:sz w:val="72"/>
          <w:szCs w:val="72"/>
          <w:lang w:val="en-US" w:eastAsia="zh-CN"/>
        </w:rPr>
      </w:pPr>
    </w:p>
    <w:p>
      <w:pPr>
        <w:bidi w:val="0"/>
        <w:rPr>
          <w:rFonts w:hint="eastAsia"/>
          <w:sz w:val="72"/>
          <w:szCs w:val="72"/>
          <w:lang w:val="en-US" w:eastAsia="zh-CN"/>
        </w:rPr>
      </w:pPr>
    </w:p>
    <w:p>
      <w:pPr>
        <w:bidi w:val="0"/>
        <w:rPr>
          <w:rFonts w:hint="eastAsia"/>
          <w:sz w:val="72"/>
          <w:szCs w:val="72"/>
          <w:lang w:val="en-US" w:eastAsia="zh-CN"/>
        </w:rPr>
      </w:pPr>
    </w:p>
    <w:p>
      <w:pPr>
        <w:bidi w:val="0"/>
        <w:rPr>
          <w:rFonts w:hint="eastAsia"/>
          <w:sz w:val="72"/>
          <w:szCs w:val="72"/>
          <w:lang w:val="en-US" w:eastAsia="zh-CN"/>
        </w:rPr>
      </w:pPr>
    </w:p>
    <w:p>
      <w:pPr>
        <w:bidi w:val="0"/>
        <w:rPr>
          <w:rFonts w:hint="eastAsia"/>
          <w:sz w:val="72"/>
          <w:szCs w:val="72"/>
          <w:lang w:val="en-US" w:eastAsia="zh-CN"/>
        </w:rPr>
      </w:pPr>
    </w:p>
    <w:p>
      <w:pPr>
        <w:bidi w:val="0"/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MotorCycle Tools 使用说明</w:t>
      </w:r>
    </w:p>
    <w:p>
      <w:p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br w:type="page"/>
      </w:r>
    </w:p>
    <w:sdt>
      <w:sdtPr>
        <w:rPr>
          <w:rFonts w:ascii="SimSun" w:hAnsi="SimSun" w:eastAsia="SimSun" w:cstheme="minorBidi"/>
          <w:kern w:val="2"/>
          <w:sz w:val="21"/>
          <w:szCs w:val="24"/>
          <w:lang w:val="en-US" w:eastAsia="zh-CN" w:bidi="ar-SA"/>
        </w:rPr>
        <w:id w:val="14747214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7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目录</w:t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/>
              <w:sz w:val="72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 w:val="72"/>
              <w:szCs w:val="72"/>
              <w:lang w:val="en-US" w:eastAsia="zh-CN"/>
            </w:rPr>
            <w:instrText xml:space="preserve">TOC \o "1-3" \h \u </w:instrText>
          </w:r>
          <w:r>
            <w:rPr>
              <w:rFonts w:hint="eastAsia"/>
              <w:sz w:val="72"/>
              <w:szCs w:val="72"/>
              <w:lang w:val="en-US" w:eastAsia="zh-CN"/>
            </w:rPr>
            <w:fldChar w:fldCharType="separate"/>
          </w: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_Toc10622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功能介绍</w:t>
          </w:r>
          <w:r>
            <w:tab/>
          </w:r>
          <w:r>
            <w:fldChar w:fldCharType="begin"/>
          </w:r>
          <w:r>
            <w:instrText xml:space="preserve"> PAGEREF _Toc10622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_Toc32320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概览</w:t>
          </w:r>
          <w:r>
            <w:tab/>
          </w:r>
          <w:r>
            <w:fldChar w:fldCharType="begin"/>
          </w:r>
          <w:r>
            <w:instrText xml:space="preserve"> PAGEREF _Toc32320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_Toc25791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串口连接</w:t>
          </w:r>
          <w:r>
            <w:tab/>
          </w:r>
          <w:r>
            <w:fldChar w:fldCharType="begin"/>
          </w:r>
          <w:r>
            <w:instrText xml:space="preserve"> PAGEREF _Toc25791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_Toc10910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数据接收、保存与播放</w:t>
          </w:r>
          <w:r>
            <w:tab/>
          </w:r>
          <w:r>
            <w:fldChar w:fldCharType="begin"/>
          </w:r>
          <w:r>
            <w:instrText xml:space="preserve"> PAGEREF _Toc10910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_Toc13784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视频显示、录制与播放</w:t>
          </w:r>
          <w:r>
            <w:tab/>
          </w:r>
          <w:r>
            <w:fldChar w:fldCharType="begin"/>
          </w:r>
          <w:r>
            <w:instrText xml:space="preserve"> PAGEREF _Toc13784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_Toc25301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点云与航迹图表</w:t>
          </w:r>
          <w:r>
            <w:tab/>
          </w:r>
          <w:r>
            <w:fldChar w:fldCharType="begin"/>
          </w:r>
          <w:r>
            <w:instrText xml:space="preserve"> PAGEREF _Toc25301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_Toc82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点云与航迹列表</w:t>
          </w:r>
          <w:r>
            <w:tab/>
          </w:r>
          <w:r>
            <w:fldChar w:fldCharType="begin"/>
          </w:r>
          <w:r>
            <w:instrText xml:space="preserve"> PAGEREF _Toc82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_Toc18734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预警提示</w:t>
          </w:r>
          <w:r>
            <w:tab/>
          </w:r>
          <w:r>
            <w:fldChar w:fldCharType="begin"/>
          </w:r>
          <w:r>
            <w:instrText xml:space="preserve"> PAGEREF _Toc18734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_Toc7822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 </w:t>
          </w:r>
          <w:r>
            <w:rPr>
              <w:rFonts w:hint="eastAsia"/>
              <w:lang w:val="en-US" w:eastAsia="zh-CN"/>
            </w:rPr>
            <w:t>Log显示框</w:t>
          </w:r>
          <w:r>
            <w:tab/>
          </w:r>
          <w:r>
            <w:fldChar w:fldCharType="begin"/>
          </w:r>
          <w:r>
            <w:instrText xml:space="preserve"> PAGEREF _Toc7822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_Toc4805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1.9. </w:t>
          </w:r>
          <w:r>
            <w:rPr>
              <w:rFonts w:hint="eastAsia"/>
              <w:lang w:val="en-US" w:eastAsia="zh-CN"/>
            </w:rPr>
            <w:t>下线校准窗口</w:t>
          </w:r>
          <w:r>
            <w:tab/>
          </w:r>
          <w:r>
            <w:fldChar w:fldCharType="begin"/>
          </w:r>
          <w:r>
            <w:instrText xml:space="preserve"> PAGEREF _Toc4805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_Toc3212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1.10. </w:t>
          </w:r>
          <w:r>
            <w:rPr>
              <w:rFonts w:hint="eastAsia"/>
              <w:lang w:val="en-US" w:eastAsia="zh-CN"/>
            </w:rPr>
            <w:t>下位机Debug打印输出控制台</w:t>
          </w:r>
          <w:r>
            <w:tab/>
          </w:r>
          <w:r>
            <w:fldChar w:fldCharType="begin"/>
          </w:r>
          <w:r>
            <w:instrText xml:space="preserve"> PAGEREF _Toc3212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_Toc16798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程序使用</w:t>
          </w:r>
          <w:r>
            <w:tab/>
          </w:r>
          <w:r>
            <w:fldChar w:fldCharType="begin"/>
          </w:r>
          <w:r>
            <w:instrText xml:space="preserve"> PAGEREF _Toc16798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_Toc2596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硬件连接</w:t>
          </w:r>
          <w:r>
            <w:tab/>
          </w:r>
          <w:r>
            <w:fldChar w:fldCharType="begin"/>
          </w:r>
          <w:r>
            <w:instrText xml:space="preserve"> PAGEREF _Toc2596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_Toc19601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启动软件、连接与录制</w:t>
          </w:r>
          <w:r>
            <w:tab/>
          </w:r>
          <w:r>
            <w:fldChar w:fldCharType="begin"/>
          </w:r>
          <w:r>
            <w:instrText xml:space="preserve"> PAGEREF _Toc19601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_Toc30653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启动下位机</w:t>
          </w:r>
          <w:r>
            <w:tab/>
          </w:r>
          <w:r>
            <w:fldChar w:fldCharType="begin"/>
          </w:r>
          <w:r>
            <w:instrText xml:space="preserve"> PAGEREF _Toc30653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_Toc2960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数据回放</w:t>
          </w:r>
          <w:r>
            <w:tab/>
          </w:r>
          <w:r>
            <w:fldChar w:fldCharType="begin"/>
          </w:r>
          <w:r>
            <w:instrText xml:space="preserve"> PAGEREF _Toc2960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_Toc2565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指令下发</w:t>
          </w:r>
          <w:r>
            <w:tab/>
          </w:r>
          <w:r>
            <w:fldChar w:fldCharType="begin"/>
          </w:r>
          <w:r>
            <w:instrText xml:space="preserve"> PAGEREF _Toc2565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72"/>
              <w:lang w:val="en-US" w:eastAsia="zh-CN"/>
            </w:rPr>
            <w:fldChar w:fldCharType="begin"/>
          </w:r>
          <w:r>
            <w:rPr>
              <w:rFonts w:hint="eastAsia"/>
              <w:szCs w:val="72"/>
              <w:lang w:val="en-US" w:eastAsia="zh-CN"/>
            </w:rPr>
            <w:instrText xml:space="preserve"> HYPERLINK \l _Toc13065 </w:instrText>
          </w:r>
          <w:r>
            <w:rPr>
              <w:rFonts w:hint="eastAsia"/>
              <w:szCs w:val="72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下线校准</w:t>
          </w:r>
          <w:r>
            <w:tab/>
          </w:r>
          <w:r>
            <w:fldChar w:fldCharType="begin"/>
          </w:r>
          <w:r>
            <w:instrText xml:space="preserve"> PAGEREF _Toc13065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72"/>
              <w:lang w:val="en-US" w:eastAsia="zh-CN"/>
            </w:rPr>
            <w:fldChar w:fldCharType="end"/>
          </w:r>
        </w:p>
        <w:p>
          <w:pPr>
            <w:bidi w:val="0"/>
            <w:jc w:val="center"/>
          </w:pPr>
          <w:r>
            <w:rPr>
              <w:rFonts w:hint="eastAsia"/>
              <w:szCs w:val="72"/>
              <w:lang w:val="en-US" w:eastAsia="zh-CN"/>
            </w:rPr>
            <w:fldChar w:fldCharType="end"/>
          </w:r>
        </w:p>
      </w:sdtContent>
    </w:sdt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0" w:name="_Toc10622"/>
      <w:r>
        <w:rPr>
          <w:rFonts w:hint="eastAsia"/>
          <w:lang w:val="en-US" w:eastAsia="zh-CN"/>
        </w:rPr>
        <w:t>功能介绍</w:t>
      </w:r>
      <w:bookmarkEnd w:id="0"/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" w:name="_Toc32320"/>
      <w:r>
        <w:rPr>
          <w:rFonts w:hint="eastAsia"/>
          <w:lang w:val="en-US" w:eastAsia="zh-CN"/>
        </w:rPr>
        <w:t>概览</w:t>
      </w:r>
      <w:bookmarkEnd w:id="1"/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MotorCycle Tools作为控制与测试毫米波雷达模块（所用芯片为Cheetah）的上位机软件，可以通过串口与接收来自下位机发送的点云数据和轨迹数据，对数据进行绘制和保存，以供后续测试分析。</w:t>
      </w:r>
    </w:p>
    <w:p>
      <w:pPr>
        <w:bidi w:val="0"/>
        <w:ind w:firstLine="420" w:firstLineChars="0"/>
      </w:pPr>
      <w:r>
        <w:rPr>
          <w:rFonts w:hint="eastAsia"/>
          <w:lang w:val="en-US" w:eastAsia="zh-CN"/>
        </w:rPr>
        <w:t>MotorCycle Tools主界面如图1-1-1所示，后续将按照功能分别介绍各部分模块。</w:t>
      </w:r>
    </w:p>
    <w:p>
      <w:pPr>
        <w:numPr>
          <w:ilvl w:val="0"/>
          <w:numId w:val="0"/>
        </w:numPr>
        <w:bidi w:val="0"/>
        <w:jc w:val="center"/>
      </w:pPr>
      <w:r>
        <w:drawing>
          <wp:inline distT="0" distB="0" distL="114300" distR="114300">
            <wp:extent cx="5266690" cy="2797810"/>
            <wp:effectExtent l="0" t="0" r="381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图1-1-1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2" w:name="_Toc25791"/>
      <w:r>
        <w:rPr>
          <w:rFonts w:hint="eastAsia"/>
          <w:lang w:val="en-US" w:eastAsia="zh-CN"/>
        </w:rPr>
        <w:t>连接</w:t>
      </w:r>
      <w:bookmarkEnd w:id="2"/>
    </w:p>
    <w:p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串口连接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串口连接部分如图1-2-1所示。MotorCycle Tools提供UART与WAVESHARE USB-CAN-A两种链接方式。WAVESHARE USB-CAN-A为微雪电子生产的CAN - USB转换转接口，可以将下位机输出的CAN信号转换为串口信号被上位机接收。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left"/>
      </w:pPr>
      <w:r>
        <w:rPr>
          <w:rFonts w:hint="eastAsia"/>
          <w:lang w:val="en-US" w:eastAsia="zh-CN"/>
        </w:rPr>
        <w:t>在按照要求将下位机与PC的USB接口连接后，用户可选择对应的端口和连接方式，并点击“连接”按钮进行连接。</w:t>
      </w:r>
      <w:r>
        <w:drawing>
          <wp:inline distT="0" distB="0" distL="114300" distR="114300">
            <wp:extent cx="5266690" cy="2797810"/>
            <wp:effectExtent l="0" t="0" r="3810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图1-2-1</w:t>
      </w:r>
    </w:p>
    <w:p>
      <w:pPr>
        <w:pStyle w:val="4"/>
        <w:numPr>
          <w:ilvl w:val="2"/>
          <w:numId w:val="1"/>
        </w:numPr>
        <w:bidi w:val="0"/>
        <w:rPr>
          <w:rFonts w:hint="default"/>
          <w:lang w:val="en-US" w:eastAsia="zh-CN"/>
        </w:rPr>
      </w:pPr>
      <w:bookmarkStart w:id="3" w:name="_Toc10910"/>
      <w:r>
        <w:rPr>
          <w:rFonts w:hint="eastAsia"/>
          <w:lang w:val="en-US" w:eastAsia="zh-CN"/>
        </w:rPr>
        <w:t>网络连接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使用以太网接收功能前，请确保上位机与下位机网络配置正确。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默认参数如下：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上位机 IP：192.168.1.100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子网掩码：255.255.255.0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监听端口：5000/TCP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下位机连接目标：192.168.1.100:5000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numPr>
          <w:ilvl w:val="3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Windows 用户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打开“网络连接”。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找到连接下位机的以太网适配器。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打开 IPv4 属性。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配置静态 IP：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IP 地址：192.168.1.100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子网掩码：255.255.255.0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默认网关：留空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DNS：留空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在 Windows 防火墙中允许 TCP 5000 入站。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启动软件，开启以太网接收功能。</w:t>
      </w:r>
    </w:p>
    <w:p>
      <w:pPr>
        <w:rPr>
          <w:rFonts w:hint="default"/>
          <w:lang w:val="en-US" w:eastAsia="zh-CN"/>
        </w:rPr>
      </w:pPr>
    </w:p>
    <w:p>
      <w:pPr>
        <w:pStyle w:val="5"/>
        <w:numPr>
          <w:ilvl w:val="3"/>
          <w:numId w:val="1"/>
        </w:numPr>
        <w:bidi w:val="0"/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Linux 用户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使用指令</w:t>
      </w:r>
      <w:r>
        <w:rPr>
          <w:rFonts w:hint="default"/>
          <w:lang w:val="en-US" w:eastAsia="zh-CN"/>
        </w:rPr>
        <w:t>查看雷达连接的以太网网卡名称：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-brief link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配置固定 IP，例如网卡为 `enx68da73aec1a6`：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nmcli connection add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type ethernet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con-name radar-eth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ifname enx68da73aec1a6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ipv4.method manual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ipv4.addresses 192.168.1.100/24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ipv4.never-default yes \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connection.autoconnect yes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nmcli connection up radar-eth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放行防火墙端口：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ufw allow 5000/tcp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启动软件，开启以太网接收功能。</w:t>
      </w:r>
    </w:p>
    <w:p>
      <w:pPr>
        <w:rPr>
          <w:rFonts w:hint="default"/>
          <w:lang w:val="en-US" w:eastAsia="zh-CN"/>
        </w:rPr>
      </w:pPr>
    </w:p>
    <w:p>
      <w:pPr>
        <w:pStyle w:val="5"/>
        <w:numPr>
          <w:ilvl w:val="3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验证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选择ETH_TCP选项，并点击连接，下方Log显示框显示“TCP Server 已开始监听”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下位机</w:t>
      </w:r>
      <w:r>
        <w:rPr>
          <w:rFonts w:hint="eastAsia"/>
          <w:lang w:val="en-US" w:eastAsia="zh-CN"/>
        </w:rPr>
        <w:t>上电后，自动</w:t>
      </w:r>
      <w:r>
        <w:rPr>
          <w:rFonts w:hint="default"/>
          <w:lang w:val="en-US" w:eastAsia="zh-CN"/>
        </w:rPr>
        <w:t>连接：192.168.1.100:5000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Log显示框</w:t>
      </w:r>
      <w:r>
        <w:rPr>
          <w:rFonts w:hint="default"/>
          <w:lang w:val="en-US" w:eastAsia="zh-CN"/>
        </w:rPr>
        <w:t>应能显示下位机连接成功并接收数</w:t>
      </w:r>
      <w:bookmarkStart w:id="18" w:name="_GoBack"/>
      <w:bookmarkEnd w:id="18"/>
      <w:r>
        <w:rPr>
          <w:rFonts w:hint="default"/>
          <w:lang w:val="en-US" w:eastAsia="zh-CN"/>
        </w:rPr>
        <w:t>据。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数据接收、保存与播放</w:t>
      </w:r>
      <w:bookmarkEnd w:id="3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在用户使用串口连接下位机后，若下位机发送点云和航迹数据，MotorCycle Tools会接收数据并绘制展示。若用户点击“开始录制”按钮，则软件会处于录制状态，将接收的数据保存为文件。用户可以点击“加载回放文件”来读取和回放保存的文件，并通过滑块和“播放/暂停”按钮来调节播放进度。如图1-3-1所示。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3810" b="889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图1-3-1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4" w:name="_Toc13784"/>
      <w:r>
        <w:rPr>
          <w:rFonts w:hint="eastAsia"/>
          <w:lang w:val="en-US" w:eastAsia="zh-CN"/>
        </w:rPr>
        <w:t>视频显示、录制与播放</w:t>
      </w:r>
      <w:bookmarkEnd w:id="4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在摄像头连接到PC后，MotorCycle Tools会自动将摄像头拍摄的视频画面显示在软件左侧，为用户提供目标影像参考。若用户点击开始录制，并且MotorCycle Tools通过串口接收到数据帧时，MotorCycle Tools会自动截取当前画面帧，并保存为同名数据文件。在读取数据文件时，MotorCycle Tools也会读取同名的视频文件。其中，视频显示窗口如图1-4-1所示。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0149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图1-4-1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" w:name="_Toc25301"/>
      <w:r>
        <w:rPr>
          <w:rFonts w:hint="eastAsia"/>
          <w:lang w:val="en-US" w:eastAsia="zh-CN"/>
        </w:rPr>
        <w:t>点云与航迹图表</w:t>
      </w:r>
      <w:bookmarkEnd w:id="5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云与航迹图表如图1-5-1所示，上位机接收的点云和航迹数据将在此处绘制为图表。在图表中，方框为航迹，方框上的方向代表航迹运动的方向；点则代表检测点。静态的目标为蓝色，而动态的目标为红色。用户可以通过图表下方的“Detetions”和“Tracks”来选择是否显示点云和轨迹。而“X-axis Range”和“Y-axis Range”则可以调节图表坐标轴的范围。</w:t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014980"/>
            <wp:effectExtent l="0" t="0" r="1016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图1-5-1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6" w:name="_Toc82"/>
      <w:r>
        <w:rPr>
          <w:rFonts w:hint="eastAsia"/>
          <w:lang w:val="en-US" w:eastAsia="zh-CN"/>
        </w:rPr>
        <w:t>点云与航迹列表</w:t>
      </w:r>
      <w:bookmarkEnd w:id="6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如图1-6-1所示，点云与航迹列表将会显示出所有接收到对象信息的详细数据，以供开发人员参考。</w:t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014980"/>
            <wp:effectExtent l="0" t="0" r="1016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图1-6-1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7" w:name="_Toc18734"/>
      <w:r>
        <w:rPr>
          <w:rFonts w:hint="eastAsia"/>
          <w:lang w:val="en-US" w:eastAsia="zh-CN"/>
        </w:rPr>
        <w:t>预警提示</w:t>
      </w:r>
      <w:bookmarkEnd w:id="7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如图1-7-1所示，预警提示提供了两种显示方式，一种是详细的预警目标信息的打印，另一种是更直观的报警灯提示，在图表中也会以橙色警告框显示。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其中，对于</w:t>
      </w:r>
      <w:r>
        <w:rPr>
          <w:rFonts w:hint="eastAsia"/>
          <w:color w:val="FF0000"/>
          <w:lang w:val="en-US" w:eastAsia="zh-CN"/>
        </w:rPr>
        <w:t>预警输出信息中各字段的含义</w:t>
      </w:r>
      <w:r>
        <w:rPr>
          <w:rFonts w:hint="eastAsia"/>
          <w:lang w:val="en-US" w:eastAsia="zh-CN"/>
        </w:rPr>
        <w:t>如下所述：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●</w:t>
      </w:r>
      <w:r>
        <w:rPr>
          <w:rFonts w:hint="eastAsia" w:ascii="Calibri" w:hAnsi="Calibri" w:cs="Calibri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BSD_left / BSD_right：盲区警示（Blind Spot Detection）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●</w:t>
      </w:r>
      <w:r>
        <w:rPr>
          <w:rFonts w:hint="eastAsia" w:ascii="Calibri" w:hAnsi="Calibri" w:cs="Calibri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AOA_left / AOA_right：超车后警示（Approaching from Overtake）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●</w:t>
      </w:r>
      <w:r>
        <w:rPr>
          <w:rFonts w:hint="eastAsia" w:ascii="Calibri" w:hAnsi="Calibri" w:cs="Calibri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LCA_left / LCA_right：车道变更辅助（Lane Change Assist）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●</w:t>
      </w:r>
      <w:r>
        <w:rPr>
          <w:rFonts w:hint="eastAsia" w:ascii="Calibri" w:hAnsi="Calibri" w:cs="Calibri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RCW：正后方碰撞预警（Rear Collision Warning）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●</w:t>
      </w:r>
      <w:r>
        <w:rPr>
          <w:rFonts w:hint="eastAsia" w:ascii="Calibri" w:hAnsi="Calibri" w:cs="Calibri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TTC_min：</w:t>
      </w:r>
      <w:r>
        <w:rPr>
          <w:rFonts w:hint="eastAsia"/>
          <w:lang w:val="en-US" w:eastAsia="zh-CN"/>
        </w:rPr>
        <w:t>取</w:t>
      </w:r>
      <w:r>
        <w:rPr>
          <w:rFonts w:hint="default"/>
          <w:lang w:val="en-US" w:eastAsia="zh-CN"/>
        </w:rPr>
        <w:t>所有预警目标中的最小碰撞时间（单位：秒）；当没有预警目标时，该值为 FLT_MAX。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另外，对于</w:t>
      </w:r>
      <w:r>
        <w:rPr>
          <w:rFonts w:hint="eastAsia"/>
          <w:color w:val="FF0000"/>
          <w:lang w:val="en-US" w:eastAsia="zh-CN"/>
        </w:rPr>
        <w:t>预警判断的规则</w:t>
      </w:r>
      <w:r>
        <w:rPr>
          <w:rFonts w:hint="eastAsia"/>
          <w:lang w:val="en-US" w:eastAsia="zh-CN"/>
        </w:rPr>
        <w:t>，可参考如下所述：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●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BSD：当目标位于左侧或右侧盲区（x ≤ 10 m）且</w:t>
      </w:r>
      <w:r>
        <w:rPr>
          <w:rFonts w:hint="eastAsia"/>
          <w:lang w:val="en-US" w:eastAsia="zh-CN"/>
        </w:rPr>
        <w:t xml:space="preserve"> ego</w:t>
      </w:r>
      <w:r>
        <w:rPr>
          <w:rFonts w:hint="default"/>
          <w:lang w:val="en-US" w:eastAsia="zh-CN"/>
        </w:rPr>
        <w:t xml:space="preserve"> ≥ 10 km/h 时触发。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●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AOA：在BSD条件基础上，若</w:t>
      </w:r>
      <w:r>
        <w:rPr>
          <w:rFonts w:hint="eastAsia"/>
          <w:lang w:val="en-US" w:eastAsia="zh-CN"/>
        </w:rPr>
        <w:t xml:space="preserve"> ego </w:t>
      </w:r>
      <w:r>
        <w:rPr>
          <w:rFonts w:hint="default"/>
          <w:lang w:val="en-US" w:eastAsia="zh-CN"/>
        </w:rPr>
        <w:t>大于目标前进速度，则触发超车后警示。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●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LCA：当目标位于左侧或右侧、x ≤ 70 m、靠近速度 &gt; 1 m/s 且 TTC ≤ 6 s 时触发。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●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RCW：当目标位于正后方中心区域（|y| ≤ 0.5 m）、x ≤ 70 m、靠近速度 &gt; 1 m/s 且 TTC ≤ 6 s 时触发。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【注】</w:t>
      </w:r>
      <w:r>
        <w:rPr>
          <w:rFonts w:hint="default"/>
          <w:lang w:val="en-US" w:eastAsia="zh-CN"/>
        </w:rPr>
        <w:t>通用说明</w:t>
      </w:r>
      <w:r>
        <w:rPr>
          <w:rFonts w:hint="eastAsia"/>
          <w:lang w:val="en-US" w:eastAsia="zh-CN"/>
        </w:rPr>
        <w:t>：（1）</w:t>
      </w:r>
      <w:r>
        <w:rPr>
          <w:rFonts w:hint="default"/>
          <w:lang w:val="en-US" w:eastAsia="zh-CN"/>
        </w:rPr>
        <w:t>所有目标需满足：有效、位于后方（x&gt;0）、非静止（速度≥0.5m/s）</w:t>
      </w:r>
      <w:r>
        <w:rPr>
          <w:rFonts w:hint="eastAsia"/>
          <w:lang w:val="en-US" w:eastAsia="zh-CN"/>
        </w:rPr>
        <w:t>。（2）</w:t>
      </w:r>
      <w:r>
        <w:rPr>
          <w:rFonts w:hint="default"/>
          <w:lang w:val="en-US" w:eastAsia="zh-CN"/>
        </w:rPr>
        <w:t>横向区域划分（单位：米）：</w:t>
      </w:r>
      <w:r>
        <w:rPr>
          <w:rFonts w:hint="eastAsia"/>
          <w:lang w:val="en-US" w:eastAsia="zh-CN"/>
        </w:rPr>
        <w:t xml:space="preserve">a) </w:t>
      </w:r>
      <w:r>
        <w:rPr>
          <w:rFonts w:hint="default"/>
          <w:lang w:val="en-US" w:eastAsia="zh-CN"/>
        </w:rPr>
        <w:t>左侧：-4.4 &lt; y &lt; -0.5</w:t>
      </w:r>
      <w:r>
        <w:rPr>
          <w:rFonts w:hint="eastAsia"/>
          <w:lang w:val="en-US" w:eastAsia="zh-CN"/>
        </w:rPr>
        <w:t xml:space="preserve">；b) </w:t>
      </w:r>
      <w:r>
        <w:rPr>
          <w:rFonts w:hint="default"/>
          <w:lang w:val="en-US" w:eastAsia="zh-CN"/>
        </w:rPr>
        <w:t>中心：-0.5 ≤ y ≤ 0.5</w:t>
      </w:r>
      <w:r>
        <w:rPr>
          <w:rFonts w:hint="eastAsia"/>
          <w:lang w:val="en-US" w:eastAsia="zh-CN"/>
        </w:rPr>
        <w:t xml:space="preserve">；c) </w:t>
      </w:r>
      <w:r>
        <w:rPr>
          <w:rFonts w:hint="default"/>
          <w:lang w:val="en-US" w:eastAsia="zh-CN"/>
        </w:rPr>
        <w:t>右侧：0.5 &lt; y &lt; 4.4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900680"/>
            <wp:effectExtent l="0" t="0" r="2540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图1-7-1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8" w:name="_Toc7822"/>
      <w:r>
        <w:rPr>
          <w:rFonts w:hint="eastAsia"/>
          <w:lang w:val="en-US" w:eastAsia="zh-CN"/>
        </w:rPr>
        <w:t>Log显示框</w:t>
      </w:r>
      <w:bookmarkEnd w:id="8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Log显示框如图1-8-1所示，将会展示软件目前操作所遇到的状态，方便开发人员对MotorCycle Tools目前的状态进行判断，以进行正确使用。</w:t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3810" b="889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图1-8-1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9" w:name="_Toc4805"/>
      <w:r>
        <w:rPr>
          <w:rFonts w:hint="eastAsia"/>
          <w:lang w:val="en-US" w:eastAsia="zh-CN"/>
        </w:rPr>
        <w:t>下线校准窗口</w:t>
      </w:r>
      <w:bookmarkEnd w:id="9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如图1-9-1所示，用户可通过“CAN（WAVESHARE USB-CAN-A）”连接方式，将配置后的校准参数发送至X2000平台，进而完成雷达校准流程。</w:t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3810" b="889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图1-9-1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0" w:name="_Toc3212"/>
      <w:r>
        <w:rPr>
          <w:rFonts w:hint="eastAsia"/>
          <w:lang w:val="en-US" w:eastAsia="zh-CN"/>
        </w:rPr>
        <w:t>下位机Debug打印输出控制台</w:t>
      </w:r>
      <w:bookmarkEnd w:id="10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如图1-10-1所示，该控制台相当于一个串口助手，可满足用户查看下位机运行状态与下发指令等基本需求。</w:t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3810" b="889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图1-10-1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1" w:name="_Toc16798"/>
      <w:r>
        <w:rPr>
          <w:rFonts w:hint="eastAsia"/>
          <w:lang w:val="en-US" w:eastAsia="zh-CN"/>
        </w:rPr>
        <w:t>程序使用</w:t>
      </w:r>
      <w:bookmarkEnd w:id="11"/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2" w:name="_Toc2596"/>
      <w:r>
        <w:rPr>
          <w:rFonts w:hint="eastAsia"/>
          <w:lang w:val="en-US" w:eastAsia="zh-CN"/>
        </w:rPr>
        <w:t>硬件连接</w:t>
      </w:r>
      <w:bookmarkEnd w:id="12"/>
    </w:p>
    <w:p>
      <w:pPr>
        <w:widowControl w:val="0"/>
        <w:numPr>
          <w:ilvl w:val="0"/>
          <w:numId w:val="0"/>
        </w:numPr>
        <w:bidi w:val="0"/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将开发板的数据串口与上位机PC使用USB数据线连接。若配置开发板使用CAN传输数据，则使用WAVESHARE USB-CAN-A将CAN信号转换为串口信号，再连接到上位机USB接口。</w:t>
      </w:r>
    </w:p>
    <w:p>
      <w:pPr>
        <w:widowControl w:val="0"/>
        <w:numPr>
          <w:ilvl w:val="0"/>
          <w:numId w:val="0"/>
        </w:numPr>
        <w:bidi w:val="0"/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将摄像头数据USB数据线同样连接到PC的USB接口上。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3" w:name="_Toc19601"/>
      <w:r>
        <w:rPr>
          <w:rFonts w:hint="eastAsia"/>
          <w:lang w:val="en-US" w:eastAsia="zh-CN"/>
        </w:rPr>
        <w:t>启动软件、连接与录制</w:t>
      </w:r>
      <w:bookmarkEnd w:id="13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启动MotorCycle Tools软件，此时应可以看到摄像头画面显示。选择数据串口对应的端口，以及连接方式，点击“连接”，则可以进行连接。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若希望保存点云轨迹数据以及视频，可以点击“开始录制”按钮，软件将进入录制状态。若希望停止保存，则再点击一次“停止录制”即可。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4" w:name="_Toc30653"/>
      <w:r>
        <w:rPr>
          <w:rFonts w:hint="eastAsia"/>
          <w:lang w:val="en-US" w:eastAsia="zh-CN"/>
        </w:rPr>
        <w:t>启动下位机</w:t>
      </w:r>
      <w:bookmarkEnd w:id="14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下位机通电后自动进行探测并上发数据。若MotorCycle Tools配置完毕，则在接收数据后会将数据自动绘制在图表上，并且将详细数据显示在右侧列表栏中。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若MotorCycle Tools处于录制状态，则MotorCycle Tools会将接收到的数据，以及接收数据时刻的摄像头画面帧保存为数据文件和视频文件，以供后续回放。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5" w:name="_Toc2960"/>
      <w:r>
        <w:rPr>
          <w:rFonts w:hint="eastAsia"/>
          <w:lang w:val="en-US" w:eastAsia="zh-CN"/>
        </w:rPr>
        <w:t>数据回放</w:t>
      </w:r>
      <w:bookmarkEnd w:id="15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在得到数据文件和视频文件后，点击“加载回放文件”按钮即可回放文件。用户可通过滑块和“播放/暂停”按钮来控制当前的回放进度。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6" w:name="_Toc2565"/>
      <w:r>
        <w:rPr>
          <w:rFonts w:hint="eastAsia"/>
          <w:lang w:val="en-US" w:eastAsia="zh-CN"/>
        </w:rPr>
        <w:t>指令下发</w:t>
      </w:r>
      <w:bookmarkEnd w:id="16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2-5-1所示，用户可按照图中的流程进行操作即可。当成功连接下位机的Debug串口后，在该窗口可实时查看下位机的运行状态，同时也可以通过设置“最大测试帧数”并点击“下发”来远程控制X2000系列平台的测试雷达帧数。</w:t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3810" b="889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图2-5-1</w:t>
      </w:r>
    </w:p>
    <w:p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7" w:name="_Toc13065"/>
      <w:r>
        <w:rPr>
          <w:rFonts w:hint="eastAsia"/>
          <w:lang w:val="en-US" w:eastAsia="zh-CN"/>
        </w:rPr>
        <w:t>下线校准</w:t>
      </w:r>
      <w:bookmarkEnd w:id="17"/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如图2-6-1所示，用户可按照图中的流程进行操作即可。</w:t>
      </w:r>
      <w:r>
        <w:rPr>
          <w:rFonts w:hint="default"/>
          <w:lang w:val="en-US" w:eastAsia="zh-CN"/>
        </w:rPr>
        <w:t>MotorCycle Tools软件通过CAN总线发送启动校准指令</w:t>
      </w:r>
      <w:r>
        <w:rPr>
          <w:rFonts w:hint="eastAsia"/>
          <w:lang w:val="en-US" w:eastAsia="zh-CN"/>
        </w:rPr>
        <w:t>，当</w:t>
      </w:r>
      <w:r>
        <w:rPr>
          <w:rFonts w:hint="default"/>
          <w:lang w:val="en-US" w:eastAsia="zh-CN"/>
        </w:rPr>
        <w:t>雷达接收指令后会在指定范围内寻找标靶，并通过计算的标靶位置来确定雷达安装的位置是否正确，以及补偿角度是多少。</w:t>
      </w:r>
    </w:p>
    <w:p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若X2000系列平台反馈校准成功后，MotorCycle Tools软件会将校准结果保存到本地，用户可在“本地MotorCycle Tools所在文件夹/eol_calibration_logs”中进行查看。</w:t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97810"/>
            <wp:effectExtent l="0" t="0" r="3810" b="889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图2-6-1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6wA4ejECAABjBAAADgAAAAAAAAABACAA&#10;AAA1AQAAZHJzL2Uyb0RvYy54bWxQSwECFAAUAAAACACHTuJAs0lY7tAAAAAFAQAADwAAAAAAAAAB&#10;ACAAAAA4AAAAZHJzL2Rvd25yZXYueG1sUEsBAhQACgAAAAAAh07iQAAAAAAAAAAAAAAAAAQAAAAA&#10;AAAAAAAQAAAAFgAAAGRycy9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7B9411"/>
    <w:multiLevelType w:val="multilevel"/>
    <w:tmpl w:val="E77B941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E4159"/>
    <w:rsid w:val="00E8787B"/>
    <w:rsid w:val="04ED655B"/>
    <w:rsid w:val="09804A38"/>
    <w:rsid w:val="0A152806"/>
    <w:rsid w:val="0C2C49C4"/>
    <w:rsid w:val="0D75742F"/>
    <w:rsid w:val="0EC0402F"/>
    <w:rsid w:val="11DD4353"/>
    <w:rsid w:val="11F627D1"/>
    <w:rsid w:val="12981D51"/>
    <w:rsid w:val="13A12C28"/>
    <w:rsid w:val="14EB4E09"/>
    <w:rsid w:val="16254DD9"/>
    <w:rsid w:val="17EC1FB0"/>
    <w:rsid w:val="19A75222"/>
    <w:rsid w:val="1A3B5B0C"/>
    <w:rsid w:val="1AB7627B"/>
    <w:rsid w:val="1F242A84"/>
    <w:rsid w:val="21E730B1"/>
    <w:rsid w:val="23D076FB"/>
    <w:rsid w:val="242B1793"/>
    <w:rsid w:val="25232CCF"/>
    <w:rsid w:val="268E2CA7"/>
    <w:rsid w:val="2A742104"/>
    <w:rsid w:val="2AD31436"/>
    <w:rsid w:val="2D172200"/>
    <w:rsid w:val="2E465A8C"/>
    <w:rsid w:val="2EB84F76"/>
    <w:rsid w:val="31F15893"/>
    <w:rsid w:val="3635559B"/>
    <w:rsid w:val="36F705B9"/>
    <w:rsid w:val="40186208"/>
    <w:rsid w:val="4214333A"/>
    <w:rsid w:val="422F1D71"/>
    <w:rsid w:val="4273636A"/>
    <w:rsid w:val="45D6744D"/>
    <w:rsid w:val="472D7E58"/>
    <w:rsid w:val="47E82D5B"/>
    <w:rsid w:val="4A287454"/>
    <w:rsid w:val="53B73689"/>
    <w:rsid w:val="55255C70"/>
    <w:rsid w:val="582D2A8C"/>
    <w:rsid w:val="5BC54C72"/>
    <w:rsid w:val="5C106816"/>
    <w:rsid w:val="5C6C4F41"/>
    <w:rsid w:val="600D3B89"/>
    <w:rsid w:val="66EE4951"/>
    <w:rsid w:val="68325154"/>
    <w:rsid w:val="69A3599A"/>
    <w:rsid w:val="6C4A13C7"/>
    <w:rsid w:val="6C61734E"/>
    <w:rsid w:val="6CCB2AA1"/>
    <w:rsid w:val="74850A24"/>
    <w:rsid w:val="78AE09E4"/>
    <w:rsid w:val="7B8F2D28"/>
    <w:rsid w:val="7C1B7254"/>
    <w:rsid w:val="7DEE88D3"/>
    <w:rsid w:val="FEBFE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rPr>
      <w:sz w:val="24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2159</Words>
  <Characters>2894</Characters>
  <Lines>0</Lines>
  <Paragraphs>0</Paragraphs>
  <TotalTime>0</TotalTime>
  <ScaleCrop>false</ScaleCrop>
  <LinksUpToDate>false</LinksUpToDate>
  <CharactersWithSpaces>3066</CharactersWithSpaces>
  <Application>WPS Office_11.1.0.11708_F1E327BC-269C-435d-A152-05C5408002CA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2026-04-27T08:37:00Z</dcterms:created>
  <dc:creator>chenpeihao</dc:creator>
  <cp:lastModifiedBy>chenph</cp:lastModifiedBy>
  <dcterms:modified xsi:type="dcterms:W3CDTF">2026-07-23T16:35:25Z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1033-11.1.0.11708</vt:lpwstr>
  </property>
  <property fmtid="{D5CDD505-2E9C-101B-9397-08002B2CF9AE}" pid="3" name="KSOTemplateDocerSaveRecord">
    <vt:lpwstr>eyJoZGlkIjoiNGU0ZDljYWJkYTg1YjEyNzUwZWI2MGNlMTE4NGIyYTkiLCJ1c2VySWQiOiIyOTMzNTk3OTUifQ==</vt:lpwstr>
  </property>
  <property fmtid="{D5CDD505-2E9C-101B-9397-08002B2CF9AE}" pid="4" name="ICV">
    <vt:lpwstr>76510D9BD08C46D0AD589D841CBB1E09_13</vt:lpwstr>
  </property>
</Properties>
</file>