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color w:val="595959"/>
          <w:sz w:val="24"/>
          <w:szCs w:val="24"/>
        </w:rPr>
        <w:t xml:space="preserve">NUS-ISS Certificate in Intelligent Reasoning Systems</w:t>
      </w:r>
    </w:p>
    <w:p>
      <w:pPr>
        <w:spacing w:after="400"/>
        <w:jc w:val="center"/>
      </w:pPr>
      <w:r>
        <w:rPr>
          <w:rFonts w:ascii="Calibri" w:cs="Calibri" w:eastAsia="Calibri" w:hAnsi="Calibri"/>
          <w:color w:val="595959"/>
          <w:sz w:val="24"/>
          <w:szCs w:val="24"/>
        </w:rPr>
        <w:t xml:space="preserve">Practice Module — Project Proposal</w:t>
      </w:r>
    </w:p>
    <w:p>
      <w:pPr>
        <w:spacing w:after="100"/>
        <w:jc w:val="center"/>
      </w:pPr>
      <w:r>
        <w:rPr>
          <w:rFonts w:ascii="Calibri" w:cs="Calibri" w:eastAsia="Calibri" w:hAnsi="Calibri"/>
          <w:b/>
          <w:bCs/>
          <w:color w:val="1F3864"/>
          <w:sz w:val="56"/>
          <w:szCs w:val="56"/>
        </w:rPr>
        <w:t xml:space="preserve">IT CareerPilot</w:t>
      </w:r>
    </w:p>
    <w:p>
      <w:pPr>
        <w:spacing w:after="60"/>
        <w:jc w:val="center"/>
      </w:pPr>
      <w:r>
        <w:rPr>
          <w:rFonts w:ascii="Calibri" w:cs="Calibri" w:eastAsia="Calibri" w:hAnsi="Calibri"/>
          <w:color w:val="1F3864"/>
          <w:sz w:val="26"/>
          <w:szCs w:val="26"/>
        </w:rPr>
        <w:t xml:space="preserve">An Explainable Hybrid Reasoning System for Internship and</w:t>
      </w:r>
    </w:p>
    <w:p>
      <w:pPr>
        <w:spacing w:after="700"/>
        <w:jc w:val="center"/>
      </w:pPr>
      <w:r>
        <w:rPr>
          <w:rFonts w:ascii="Calibri" w:cs="Calibri" w:eastAsia="Calibri" w:hAnsi="Calibri"/>
          <w:color w:val="1F3864"/>
          <w:sz w:val="26"/>
          <w:szCs w:val="26"/>
        </w:rPr>
        <w:t xml:space="preserve">Graduate Job Seeking by IT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Item</w:t>
            </w:r>
          </w:p>
        </w:tc>
        <w:tc>
          <w:tcPr>
            <w:tcW w:type="dxa" w:w="6760"/>
            <w:shd w:fill="DEEAF6"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Details</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Project Title</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IT CareerPilot: An Explainable Hybrid Reasoning System for Internship and Graduate Job Seeking by IT Students</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Group Number</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[to be filled — as registered in Canvas]</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Group Members</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[Full Name, Student ID / Masked NRIC] × 5</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Project Repository</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https://github.com/Melody5Sun/IRS-v1</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Date of Presentation</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[to be filled]</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Proposal Submission Deadline</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13 September 2026, 23:59</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Final Deliverable Deadline</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25 October 2026, 23:59</w:t>
            </w:r>
          </w:p>
        </w:tc>
      </w:tr>
    </w:tbl>
    <w:p>
      <w:r>
        <w:br w:type="page"/>
      </w:r>
    </w:p>
    <w:p>
      <w:pPr>
        <w:pStyle w:val="Heading1"/>
        <w:spacing w:after="140" w:before="360"/>
      </w:pPr>
      <w:r>
        <w:rPr>
          <w:rFonts w:ascii="Calibri" w:cs="Calibri" w:eastAsia="Calibri" w:hAnsi="Calibri"/>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1F3864"/>
          <w:sz w:val="30"/>
          <w:szCs w:val="30"/>
        </w:rPr>
        <w:t xml:space="preserve">1. Project Title</w:t>
      </w:r>
    </w:p>
    <w:p>
      <w:pPr>
        <w:spacing w:after="120" w:line="276"/>
      </w:pPr>
      <w:r>
        <w:rPr>
          <w:rFonts w:ascii="Calibri" w:cs="Calibri" w:eastAsia="Calibri" w:hAnsi="Calibri"/>
          <w:b/>
          <w:bCs/>
          <w:sz w:val="23"/>
          <w:szCs w:val="23"/>
        </w:rPr>
        <w:t xml:space="preserve">IT CareerPilot: An Explainable Hybrid Reasoning System for Internship and Graduate Job Seeking by IT Students</w:t>
      </w:r>
    </w:p>
    <w:p>
      <w:pPr>
        <w:spacing w:after="120" w:line="276"/>
      </w:pPr>
      <w:r>
        <w:rPr>
          <w:rFonts w:ascii="Calibri" w:cs="Calibri" w:eastAsia="Calibri" w:hAnsi="Calibri"/>
          <w:sz w:val="21"/>
          <w:szCs w:val="21"/>
        </w:rPr>
        <w:t xml:space="preserve">IT CareerPilot is an intelligent reasoning system that supports Information Technology students through the full internship and graduate job application cycle: discovering relevant openings, deciding which of them are genuinely worth pursuing, understanding precisely why a given opening fits or does not fit, tailoring the application to that opening, and allocating a limited weekly time budget across the shortlist.</w:t>
      </w:r>
    </w:p>
    <w:p>
      <w:pPr>
        <w:spacing w:after="120" w:line="276"/>
      </w:pPr>
      <w:r>
        <w:rPr>
          <w:rFonts w:ascii="Calibri" w:cs="Calibri" w:eastAsia="Calibri" w:hAnsi="Calibri"/>
          <w:sz w:val="21"/>
          <w:szCs w:val="21"/>
        </w:rPr>
        <w:t xml:space="preserve">The name reflects the design philosophy. A pilot does not fly the aircraft on the passenger's behalf without their knowledge; it advises, it explains its reasoning, and the person retains control of the decision. The system is explicitly a decision-support system with a human in the loop, not an autonomous agent that submits applications unattended.</w:t>
      </w:r>
    </w:p>
    <w:p>
      <w:pPr>
        <w:pStyle w:val="Heading1"/>
        <w:spacing w:after="140" w:before="360"/>
      </w:pPr>
      <w:r>
        <w:rPr>
          <w:rFonts w:ascii="Calibri" w:cs="Calibri" w:eastAsia="Calibri" w:hAnsi="Calibri"/>
          <w:b/>
          <w:bCs/>
          <w:color w:val="1F3864"/>
          <w:sz w:val="30"/>
          <w:szCs w:val="30"/>
        </w:rPr>
        <w:t xml:space="preserve">2. Introduction</w:t>
      </w:r>
    </w:p>
    <w:p>
      <w:pPr>
        <w:pStyle w:val="Heading2"/>
        <w:spacing w:after="140" w:before="240"/>
      </w:pPr>
      <w:r>
        <w:rPr>
          <w:rFonts w:ascii="Calibri" w:cs="Calibri" w:eastAsia="Calibri" w:hAnsi="Calibri"/>
          <w:b/>
          <w:bCs/>
          <w:color w:val="1F3864"/>
          <w:sz w:val="25"/>
          <w:szCs w:val="25"/>
        </w:rPr>
        <w:t xml:space="preserve">2.1 Overview</w:t>
      </w:r>
    </w:p>
    <w:p>
      <w:pPr>
        <w:spacing w:after="120" w:line="276"/>
      </w:pPr>
      <w:r>
        <w:rPr>
          <w:rFonts w:ascii="Calibri" w:cs="Calibri" w:eastAsia="Calibri" w:hAnsi="Calibri"/>
          <w:sz w:val="21"/>
          <w:szCs w:val="21"/>
        </w:rPr>
        <w:t xml:space="preserve">Applying for a technology job is not one problem; it is four problems that current tools solve in isolation, if at all. A student must (i) find openings scattered across a dozen channels, (ii) judge which openings they are actually eligible and competitive for, (iii) tailor a résumé to each target so that it survives keyword-based screening while remaining truthful, and (iv) decide how to spend a fixed and small amount of weekly effort across a candidate list far longer than that budget allows.</w:t>
      </w:r>
    </w:p>
    <w:p>
      <w:pPr>
        <w:spacing w:after="120" w:line="276"/>
      </w:pPr>
      <w:r>
        <w:rPr>
          <w:rFonts w:ascii="Calibri" w:cs="Calibri" w:eastAsia="Calibri" w:hAnsi="Calibri"/>
          <w:sz w:val="21"/>
          <w:szCs w:val="21"/>
        </w:rPr>
        <w:t xml:space="preserve">IT CareerPilot addresses all four in a single pipeline. The student uploads a résumé, states a career direction and location preference, and declares a weekly time budget. The system then ingests job descriptions from public sources, extracts structured profiles from both the résumé and each job description, applies an explicit rule engine to eliminate openings the student is not eligible for, scores and ranks the remainder using a decomposable hybrid scoring function, explains each recommendation in terms of matched skills, missing skills and score contribution, rewrites résumé bullet points against a chosen target under factual constraints, retrieves interview preparation material, and finally solves a constrained optimisation problem that produces a concrete weekly application plan.</w:t>
      </w:r>
    </w:p>
    <w:p>
      <w:pPr>
        <w:pStyle w:val="Heading2"/>
        <w:spacing w:after="140" w:before="240"/>
      </w:pPr>
      <w:r>
        <w:rPr>
          <w:rFonts w:ascii="Calibri" w:cs="Calibri" w:eastAsia="Calibri" w:hAnsi="Calibri"/>
          <w:b/>
          <w:bCs/>
          <w:color w:val="1F3864"/>
          <w:sz w:val="25"/>
          <w:szCs w:val="25"/>
        </w:rPr>
        <w:t xml:space="preserve">2.2 What Makes This an Intelligent Reasoning System Rather Than an Application of a Large Language Model</w:t>
      </w:r>
    </w:p>
    <w:p>
      <w:pPr>
        <w:spacing w:after="120" w:line="276"/>
      </w:pPr>
      <w:r>
        <w:rPr>
          <w:rFonts w:ascii="Calibri" w:cs="Calibri" w:eastAsia="Calibri" w:hAnsi="Calibri"/>
          <w:sz w:val="21"/>
          <w:szCs w:val="21"/>
        </w:rPr>
        <w:t xml:space="preserve">It would be possible to build a superficially similar product by passing a résumé and a job description to a large language model and asking it for advice. We deliberately do not do this, for three reasons that shape the entire design.</w:t>
      </w:r>
    </w:p>
    <w:p>
      <w:pPr>
        <w:spacing w:after="120" w:line="276"/>
      </w:pPr>
      <w:r>
        <w:rPr>
          <w:rFonts w:ascii="Calibri" w:cs="Calibri" w:eastAsia="Calibri" w:hAnsi="Calibri"/>
          <w:b/>
          <w:bCs/>
          <w:sz w:val="21"/>
          <w:szCs w:val="21"/>
        </w:rPr>
        <w:t xml:space="preserve">Hard constraints are not preferences. </w:t>
      </w:r>
      <w:r>
        <w:rPr>
          <w:rFonts w:ascii="Calibri" w:cs="Calibri" w:eastAsia="Calibri" w:hAnsi="Calibri"/>
          <w:sz w:val="21"/>
          <w:szCs w:val="21"/>
        </w:rPr>
        <w:t xml:space="preserve">Work-pass eligibility, minimum degree level and graduation date are admission criteria, not soft signals to be traded off against a high similarity score. A candidate who cannot legally hold the role derives no value from being ranked first. These belong in a rule engine that produces a verdict and a citable reason, not in a learned scoring function where they are one feature among many.</w:t>
      </w:r>
    </w:p>
    <w:p>
      <w:pPr>
        <w:spacing w:after="120" w:line="276"/>
      </w:pPr>
      <w:r>
        <w:rPr>
          <w:rFonts w:ascii="Calibri" w:cs="Calibri" w:eastAsia="Calibri" w:hAnsi="Calibri"/>
          <w:b/>
          <w:bCs/>
          <w:sz w:val="21"/>
          <w:szCs w:val="21"/>
        </w:rPr>
        <w:t xml:space="preserve">An explanation must be a record of the reasoning, not a post-hoc narrative. </w:t>
      </w:r>
      <w:r>
        <w:rPr>
          <w:rFonts w:ascii="Calibri" w:cs="Calibri" w:eastAsia="Calibri" w:hAnsi="Calibri"/>
          <w:sz w:val="21"/>
          <w:szCs w:val="21"/>
        </w:rPr>
        <w:t xml:space="preserve">If a language model generates the recommendation and then also generates the justification, the justification is a plausible story rather than an account of why the ranking came out as it did. In IT CareerPilot, the explanation is assembled from artefacts the reasoning actually produced: the identifiers of rules that fired, the specific résumé spans that evidence each matched skill, the graph path connecting a possessed skill to a required one, and the numerical contribution of each scoring term.</w:t>
      </w:r>
    </w:p>
    <w:p>
      <w:pPr>
        <w:spacing w:after="120" w:line="276"/>
      </w:pPr>
      <w:r>
        <w:rPr>
          <w:rFonts w:ascii="Calibri" w:cs="Calibri" w:eastAsia="Calibri" w:hAnsi="Calibri"/>
          <w:b/>
          <w:bCs/>
          <w:sz w:val="21"/>
          <w:szCs w:val="21"/>
        </w:rPr>
        <w:t xml:space="preserve">Generation must be grounded in verifiable source text. </w:t>
      </w:r>
      <w:r>
        <w:rPr>
          <w:rFonts w:ascii="Calibri" w:cs="Calibri" w:eastAsia="Calibri" w:hAnsi="Calibri"/>
          <w:sz w:val="21"/>
          <w:szCs w:val="21"/>
        </w:rPr>
        <w:t xml:space="preserve">Résumé rewriting is the point at which a naive system invents experience the student does not have. We constrain the language model to rewriting existing spans, and we verify the output against the source before it is shown, treating factual consistency as a measured property with a target rather than an aspiration.</w:t>
      </w:r>
    </w:p>
    <w:p>
      <w:pPr>
        <w:pStyle w:val="Heading2"/>
        <w:spacing w:after="140" w:before="240"/>
      </w:pPr>
      <w:r>
        <w:rPr>
          <w:rFonts w:ascii="Calibri" w:cs="Calibri" w:eastAsia="Calibri" w:hAnsi="Calibri"/>
          <w:b/>
          <w:bCs/>
          <w:color w:val="1F3864"/>
          <w:sz w:val="25"/>
          <w:szCs w:val="25"/>
        </w:rPr>
        <w:t xml:space="preserve">2.3 Project Goals</w:t>
      </w:r>
    </w:p>
    <w:p>
      <w:pPr>
        <w:spacing w:after="120" w:line="276"/>
      </w:pPr>
      <w:r>
        <w:rPr>
          <w:rFonts w:ascii="Calibri" w:cs="Calibri" w:eastAsia="Calibri" w:hAnsi="Calibri"/>
          <w:sz w:val="21"/>
          <w:szCs w:val="21"/>
        </w:rPr>
        <w:t xml:space="preserve">The project is assessed against four measurable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ID</w:t>
            </w:r>
          </w:p>
        </w:tc>
        <w:tc>
          <w:tcPr>
            <w:tcW w:type="dxa" w:w="24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Goal</w:t>
            </w:r>
          </w:p>
        </w:tc>
        <w:tc>
          <w:tcPr>
            <w:tcW w:type="dxa" w:w="62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Acceptance Criterion</w:t>
            </w:r>
          </w:p>
        </w:tc>
      </w:tr>
      <w:tr>
        <w:tc>
          <w:tcPr>
            <w:tcW w:type="dxa" w:w="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G1</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Improve ranking quality</w:t>
            </w:r>
          </w:p>
        </w:tc>
        <w:tc>
          <w:tcPr>
            <w:tcW w:type="dxa" w:w="62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Precision@10 improves by at least 15% relative to a whole-document Sentence-BERT cosine similarity baseline on a held-out annotated set.</w:t>
            </w:r>
          </w:p>
        </w:tc>
      </w:tr>
      <w:tr>
        <w:tc>
          <w:tcPr>
            <w:tcW w:type="dxa" w:w="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G2</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Make every recommendation explainable</w:t>
            </w:r>
          </w:p>
        </w:tc>
        <w:tc>
          <w:tcPr>
            <w:tcW w:type="dxa" w:w="62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At least 90% of returned recommendations carry a structured explanation object containing fired rule identifiers, matched skills with résumé evidence spans, missing skills classified as transferable or hard, and a per-term score decomposition.</w:t>
            </w:r>
          </w:p>
        </w:tc>
      </w:tr>
      <w:tr>
        <w:tc>
          <w:tcPr>
            <w:tcW w:type="dxa" w:w="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G3</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Eliminate fabrication in generated text</w:t>
            </w:r>
          </w:p>
        </w:tc>
        <w:tc>
          <w:tcPr>
            <w:tcW w:type="dxa" w:w="62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Hallucination rate below 5%, measured by human adjudication of 100 rewritten bullet points against the criterion of whether any experience, skill, tool or quantity absent from the source résumé has been introduced.</w:t>
            </w:r>
          </w:p>
        </w:tc>
      </w:tr>
      <w:tr>
        <w:tc>
          <w:tcPr>
            <w:tcW w:type="dxa" w:w="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G4</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Demonstrate breadth of reasoning technique</w:t>
            </w:r>
          </w:p>
        </w:tc>
        <w:tc>
          <w:tcPr>
            <w:tcW w:type="dxa" w:w="62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delivered system implements and evaluates all four IRS technique groups, exceeding the mandatory minimum of three.</w:t>
            </w:r>
          </w:p>
        </w:tc>
      </w:tr>
    </w:tbl>
    <w:p>
      <w:pPr>
        <w:pStyle w:val="Heading2"/>
        <w:spacing w:after="140" w:before="240"/>
      </w:pPr>
      <w:r>
        <w:rPr>
          <w:rFonts w:ascii="Calibri" w:cs="Calibri" w:eastAsia="Calibri" w:hAnsi="Calibri"/>
          <w:b/>
          <w:bCs/>
          <w:color w:val="1F3864"/>
          <w:sz w:val="25"/>
          <w:szCs w:val="25"/>
        </w:rPr>
        <w:t xml:space="preserve">2.4 Intended Contributions</w:t>
      </w:r>
    </w:p>
    <w:p>
      <w:pPr>
        <w:pStyle w:val="ListParagraph"/>
        <w:numPr>
          <w:ilvl w:val="0"/>
          <w:numId w:val="2"/>
        </w:numPr>
        <w:spacing w:after="70" w:line="276"/>
      </w:pPr>
      <w:r>
        <w:rPr>
          <w:rFonts w:ascii="Calibri" w:cs="Calibri" w:eastAsia="Calibri" w:hAnsi="Calibri"/>
          <w:sz w:val="21"/>
          <w:szCs w:val="21"/>
        </w:rPr>
        <w:t xml:space="preserve">A working, demonstrable system that closes the loop from job discovery through to a time-budgeted application plan, which no surveyed commercial product currently does.</w:t>
      </w:r>
    </w:p>
    <w:p>
      <w:pPr>
        <w:pStyle w:val="ListParagraph"/>
        <w:numPr>
          <w:ilvl w:val="0"/>
          <w:numId w:val="2"/>
        </w:numPr>
        <w:spacing w:after="70" w:line="276"/>
      </w:pPr>
      <w:r>
        <w:rPr>
          <w:rFonts w:ascii="Calibri" w:cs="Calibri" w:eastAsia="Calibri" w:hAnsi="Calibri"/>
          <w:sz w:val="21"/>
          <w:szCs w:val="21"/>
        </w:rPr>
        <w:t xml:space="preserve">An architecture in which symbolic reasoning, statistical matching, graph-based knowledge reasoning and evolutionary optimisation each occupy the role they are genuinely best suited to, with the design rationale documented and the contribution of each component measured by ablation.</w:t>
      </w:r>
    </w:p>
    <w:p>
      <w:pPr>
        <w:pStyle w:val="ListParagraph"/>
        <w:numPr>
          <w:ilvl w:val="0"/>
          <w:numId w:val="2"/>
        </w:numPr>
        <w:spacing w:after="70" w:line="276"/>
      </w:pPr>
      <w:r>
        <w:rPr>
          <w:rFonts w:ascii="Calibri" w:cs="Calibri" w:eastAsia="Calibri" w:hAnsi="Calibri"/>
          <w:sz w:val="21"/>
          <w:szCs w:val="21"/>
        </w:rPr>
        <w:t xml:space="preserve">A quantified treatment of factual consistency in résumé rewriting, an area where commercial tools make claims but publish no measurements.</w:t>
      </w:r>
    </w:p>
    <w:p>
      <w:pPr>
        <w:pStyle w:val="ListParagraph"/>
        <w:numPr>
          <w:ilvl w:val="0"/>
          <w:numId w:val="2"/>
        </w:numPr>
        <w:spacing w:after="70" w:line="276"/>
      </w:pPr>
      <w:r>
        <w:rPr>
          <w:rFonts w:ascii="Calibri" w:cs="Calibri" w:eastAsia="Calibri" w:hAnsi="Calibri"/>
          <w:sz w:val="21"/>
          <w:szCs w:val="21"/>
        </w:rPr>
        <w:t xml:space="preserve">A worked demonstration that a compliant, human-in-the-loop design can deliver the substantive benefit that bulk auto-application tools promise, without the terms-of-service violations and quality collapse those tools cause.</w:t>
      </w:r>
    </w:p>
    <w:p>
      <w:r>
        <w:br w:type="page"/>
      </w:r>
    </w:p>
    <w:p>
      <w:pPr>
        <w:pStyle w:val="Heading1"/>
        <w:spacing w:after="140" w:before="360"/>
      </w:pPr>
      <w:r>
        <w:rPr>
          <w:rFonts w:ascii="Calibri" w:cs="Calibri" w:eastAsia="Calibri" w:hAnsi="Calibri"/>
          <w:b/>
          <w:bCs/>
          <w:color w:val="1F3864"/>
          <w:sz w:val="30"/>
          <w:szCs w:val="30"/>
        </w:rPr>
        <w:t xml:space="preserve">3. Project Background and Market Context</w:t>
      </w:r>
    </w:p>
    <w:p>
      <w:pPr>
        <w:pStyle w:val="Heading2"/>
        <w:spacing w:after="140" w:before="240"/>
      </w:pPr>
      <w:r>
        <w:rPr>
          <w:rFonts w:ascii="Calibri" w:cs="Calibri" w:eastAsia="Calibri" w:hAnsi="Calibri"/>
          <w:b/>
          <w:bCs/>
          <w:color w:val="1F3864"/>
          <w:sz w:val="25"/>
          <w:szCs w:val="25"/>
        </w:rPr>
        <w:t xml:space="preserve">3.1 The Singapore Graduate Technology Labour Market</w:t>
      </w:r>
    </w:p>
    <w:p>
      <w:pPr>
        <w:spacing w:after="120" w:line="276"/>
      </w:pPr>
      <w:r>
        <w:rPr>
          <w:rFonts w:ascii="Calibri" w:cs="Calibri" w:eastAsia="Calibri" w:hAnsi="Calibri"/>
          <w:sz w:val="21"/>
          <w:szCs w:val="21"/>
        </w:rPr>
        <w:t xml:space="preserve">The problem this project addresses is not hypothetical, and the Singapore data describes it with unusual precision.</w:t>
      </w:r>
    </w:p>
    <w:p>
      <w:pPr>
        <w:spacing w:after="120" w:line="276"/>
      </w:pPr>
      <w:r>
        <w:rPr>
          <w:rFonts w:ascii="Calibri" w:cs="Calibri" w:eastAsia="Calibri" w:hAnsi="Calibri"/>
          <w:sz w:val="21"/>
          <w:szCs w:val="21"/>
        </w:rPr>
        <w:t xml:space="preserve">The Joint Autonomous Universities Graduate Employment Survey for the 2025 cohort, published in 2026, found that 88.9% of fresh graduates were employed within six months of completing their final examinations, down from 91.2% for the 2024 cohort. Labour force participation among graduates rose from 90.7% to 92.2% over the same period. More graduates were looking for work, and a smaller proportion of them found it.</w:t>
      </w:r>
    </w:p>
    <w:p>
      <w:pPr>
        <w:spacing w:after="120" w:line="276"/>
      </w:pPr>
      <w:r>
        <w:rPr>
          <w:rFonts w:ascii="Calibri" w:cs="Calibri" w:eastAsia="Calibri" w:hAnsi="Calibri"/>
          <w:sz w:val="21"/>
          <w:szCs w:val="21"/>
        </w:rPr>
        <w:t xml:space="preserve">The figures for computing graduates are the ones that motivate this project. Graduates of information and digital technologies programmes recorded the highest median gross monthly salary of any field at S$5,500, against an all-field median of S$4,500 that was unchanged year on year. Yet their employment rate, at 88.4%, sat below the all-field average of 88.9%. Mean starting salaries for individual programmes remained strong — NUS Computer Science at S$6,674, NUS Information Systems at S$6,126, SMU Computer Science at S$6,135, NTU Computing at S$5,852 — which confirms that the roles being filled are well paid. The difficulty is not the value of a computing degree. The difficulty is conversion: turning a strong qualification into a matched offer.</w:t>
      </w:r>
    </w:p>
    <w:p>
      <w:pPr>
        <w:spacing w:after="120" w:line="276"/>
      </w:pPr>
      <w:r>
        <w:rPr>
          <w:rFonts w:ascii="Calibri" w:cs="Calibri" w:eastAsia="Calibri" w:hAnsi="Calibri"/>
          <w:sz w:val="21"/>
          <w:szCs w:val="21"/>
        </w:rPr>
        <w:t xml:space="preserve">The macro picture is consistent. The Ministry of Manpower's Labour Market Report for the first quarter of 2026 recorded overall resident unemployment at 2.0%, but unemployment among residents under thirty at 6.2%, up from 5.8%. Job vacancies fell to 73,300 from 77,700 at the end of 2025, and the ratio of vacancies to unemployed persons declined from 1.56 in 2024 to 1.46. The Job Vacancies Report 2025 adds a detail that is directly relevant: information and communications led all sectors in newly created vacancies, and software developers, systems analysts and data scientists were among the most sought-after occupations, yet the share of PMET vacancies left unfilled for six months or more rose from 14.4% to 16.0%.</w:t>
      </w:r>
    </w:p>
    <w:p>
      <w:pPr>
        <w:spacing w:after="120" w:line="276"/>
      </w:pPr>
      <w:r>
        <w:rPr>
          <w:rFonts w:ascii="Calibri" w:cs="Calibri" w:eastAsia="Calibri" w:hAnsi="Calibri"/>
          <w:b/>
          <w:bCs/>
          <w:sz w:val="21"/>
          <w:szCs w:val="21"/>
        </w:rPr>
        <w:t xml:space="preserve">The two halves of that picture do not contradict each other; together they define the problem. </w:t>
      </w:r>
      <w:r>
        <w:rPr>
          <w:rFonts w:ascii="Calibri" w:cs="Calibri" w:eastAsia="Calibri" w:hAnsi="Calibri"/>
          <w:sz w:val="21"/>
          <w:szCs w:val="21"/>
        </w:rPr>
        <w:t xml:space="preserve">Employers are creating technology roles they struggle to fill for six months at a time, while computing graduates experience below-average placement. This is not a shortage of jobs or a shortage of qualified people. It is a matching failure — and matching failures are exactly what reasoning systems exist to address.</w:t>
      </w:r>
    </w:p>
    <w:p>
      <w:pPr>
        <w:pStyle w:val="Heading2"/>
        <w:spacing w:after="140" w:before="240"/>
      </w:pPr>
      <w:r>
        <w:rPr>
          <w:rFonts w:ascii="Calibri" w:cs="Calibri" w:eastAsia="Calibri" w:hAnsi="Calibri"/>
          <w:b/>
          <w:bCs/>
          <w:color w:val="1F3864"/>
          <w:sz w:val="25"/>
          <w:szCs w:val="25"/>
        </w:rPr>
        <w:t xml:space="preserve">3.2 How the Matching Failure Manifests for the Individual Student</w:t>
      </w:r>
    </w:p>
    <w:p>
      <w:pPr>
        <w:spacing w:after="120" w:line="276"/>
      </w:pPr>
      <w:r>
        <w:rPr>
          <w:rFonts w:ascii="Calibri" w:cs="Calibri" w:eastAsia="Calibri" w:hAnsi="Calibri"/>
          <w:sz w:val="21"/>
          <w:szCs w:val="21"/>
        </w:rPr>
        <w:t xml:space="preserve">Five specific frictions convert the aggregate matching failure into daily difficulty for a student.</w:t>
      </w:r>
    </w:p>
    <w:p>
      <w:pPr>
        <w:pStyle w:val="Heading3"/>
        <w:spacing w:after="140" w:before="240"/>
      </w:pPr>
      <w:r>
        <w:rPr>
          <w:rFonts w:ascii="Calibri" w:cs="Calibri" w:eastAsia="Calibri" w:hAnsi="Calibri"/>
          <w:b/>
          <w:bCs/>
          <w:color w:val="1F3864"/>
          <w:sz w:val="22"/>
          <w:szCs w:val="22"/>
        </w:rPr>
        <w:t xml:space="preserve">3.2.1 Fragmented Discovery</w:t>
      </w:r>
    </w:p>
    <w:p>
      <w:pPr>
        <w:spacing w:after="120" w:line="276"/>
      </w:pPr>
      <w:r>
        <w:rPr>
          <w:rFonts w:ascii="Calibri" w:cs="Calibri" w:eastAsia="Calibri" w:hAnsi="Calibri"/>
          <w:sz w:val="21"/>
          <w:szCs w:val="21"/>
        </w:rPr>
        <w:t xml:space="preserve">Openings relevant to a Singapore computing student are distributed across MyCareersFuture, InternSG, individual company career portals, LinkedIn, university career services and informal Telegram channels. No two sources use the same schema. The same role appears with different titles, different experience phrasings and different completeness of requirement information. A student either monitors all of them at a real cost in time, or monitors a subset and never sees part of the opportunity space.</w:t>
      </w:r>
    </w:p>
    <w:p>
      <w:pPr>
        <w:pStyle w:val="Heading3"/>
        <w:spacing w:after="140" w:before="240"/>
      </w:pPr>
      <w:r>
        <w:rPr>
          <w:rFonts w:ascii="Calibri" w:cs="Calibri" w:eastAsia="Calibri" w:hAnsi="Calibri"/>
          <w:b/>
          <w:bCs/>
          <w:color w:val="1F3864"/>
          <w:sz w:val="22"/>
          <w:szCs w:val="22"/>
        </w:rPr>
        <w:t xml:space="preserve">3.2.2 Opaque Eligibility</w:t>
      </w:r>
    </w:p>
    <w:p>
      <w:pPr>
        <w:spacing w:after="120" w:line="276"/>
      </w:pPr>
      <w:r>
        <w:rPr>
          <w:rFonts w:ascii="Calibri" w:cs="Calibri" w:eastAsia="Calibri" w:hAnsi="Calibri"/>
          <w:sz w:val="21"/>
          <w:szCs w:val="21"/>
        </w:rPr>
        <w:t xml:space="preserve">A job description rarely states its hard constraints in a machine-readable, or even consistently human-readable, form. Work-pass sponsorship, minimum degree level, graduation window and whether the role is genuinely open to fresh graduates are frequently implied rather than stated. A student cannot easily distinguish an opening they are merely unlikely to get from one they are structurally ineligible for, and so wastes effort on the latter.</w:t>
      </w:r>
    </w:p>
    <w:p>
      <w:pPr>
        <w:pStyle w:val="Heading3"/>
        <w:spacing w:after="140" w:before="240"/>
      </w:pPr>
      <w:r>
        <w:rPr>
          <w:rFonts w:ascii="Calibri" w:cs="Calibri" w:eastAsia="Calibri" w:hAnsi="Calibri"/>
          <w:b/>
          <w:bCs/>
          <w:color w:val="1F3864"/>
          <w:sz w:val="22"/>
          <w:szCs w:val="22"/>
        </w:rPr>
        <w:t xml:space="preserve">3.2.3 Untargeted Applications at Scale</w:t>
      </w:r>
    </w:p>
    <w:p>
      <w:pPr>
        <w:spacing w:after="120" w:line="276"/>
      </w:pPr>
      <w:r>
        <w:rPr>
          <w:rFonts w:ascii="Calibri" w:cs="Calibri" w:eastAsia="Calibri" w:hAnsi="Calibri"/>
          <w:sz w:val="21"/>
          <w:szCs w:val="21"/>
        </w:rPr>
        <w:t xml:space="preserve">The dominant student strategy is volume: a single generic résumé sent to a large number of openings. The evidence indicates this is precisely the wrong strategy. Huntr's 2025 Annual Job Search Trends Report, based on a survey of 1,049 job seekers, found that tailored résumés converted to an interview or offer at 5.8% against 3.73% for untailored ones, a factor of roughly 1.6. The same report found that 18% of seekers required more than one hundred applications before receiving an offer, and that median time-to-offer lengthened from 57 days in the first quarter of 2025 to 83 days in the fourth.</w:t>
      </w:r>
    </w:p>
    <w:p>
      <w:pPr>
        <w:spacing w:after="120" w:line="276"/>
      </w:pPr>
      <w:r>
        <w:rPr>
          <w:rFonts w:ascii="Calibri" w:cs="Calibri" w:eastAsia="Calibri" w:hAnsi="Calibri"/>
          <w:sz w:val="21"/>
          <w:szCs w:val="21"/>
        </w:rPr>
        <w:t xml:space="preserve">Volume strategies are also becoming self-defeating at the market level. LinkedIn reported approximately 11,000 job applications submitted per minute as of June 2025, an increase of about 45% year on year, driven substantially by generative tools. The 2025 Greenhouse AI in Hiring Report found that three in four United States job seekers now use artificial intelligence to prepare applications and that 41% admitted to embedding hidden prompt-injection text intended to manipulate automated screening — a figure rising to 65% in information technology. As undifferentiated application volume rises, the marginal value of adding to it falls, and employers respond with heavier automated filtering, which raises the value of genuine targeting.</w:t>
      </w:r>
    </w:p>
    <w:p>
      <w:pPr>
        <w:pStyle w:val="Heading3"/>
        <w:spacing w:after="140" w:before="240"/>
      </w:pPr>
      <w:r>
        <w:rPr>
          <w:rFonts w:ascii="Calibri" w:cs="Calibri" w:eastAsia="Calibri" w:hAnsi="Calibri"/>
          <w:b/>
          <w:bCs/>
          <w:color w:val="1F3864"/>
          <w:sz w:val="22"/>
          <w:szCs w:val="22"/>
        </w:rPr>
        <w:t xml:space="preserve">3.2.4 Absent and Undifferentiated Skill-Gap Feedback</w:t>
      </w:r>
    </w:p>
    <w:p>
      <w:pPr>
        <w:spacing w:after="120" w:line="276"/>
      </w:pPr>
      <w:r>
        <w:rPr>
          <w:rFonts w:ascii="Calibri" w:cs="Calibri" w:eastAsia="Calibri" w:hAnsi="Calibri"/>
          <w:sz w:val="21"/>
          <w:szCs w:val="21"/>
        </w:rPr>
        <w:t xml:space="preserve">When a student is not a good fit for a role, no existing tool tells them why in an actionable way. Critically, no tool distinguishes between two very different kinds of gap. A student who knows PyTorch and encounters a role requiring TensorFlow has a transferable gap: the underlying competence exists and the gap is a matter of framing and a short ramp. A student with no exposure to container orchestration facing a role requiring Kubernetes has a hard gap that will not be closed by rewording a résumé. These require opposite responses — reframe the application in the first case, deprioritise the role or invest in learning in the second — and a similarity score cannot tell them apart.</w:t>
      </w:r>
    </w:p>
    <w:p>
      <w:pPr>
        <w:pStyle w:val="Heading3"/>
        <w:spacing w:after="140" w:before="240"/>
      </w:pPr>
      <w:r>
        <w:rPr>
          <w:rFonts w:ascii="Calibri" w:cs="Calibri" w:eastAsia="Calibri" w:hAnsi="Calibri"/>
          <w:b/>
          <w:bCs/>
          <w:color w:val="1F3864"/>
          <w:sz w:val="22"/>
          <w:szCs w:val="22"/>
        </w:rPr>
        <w:t xml:space="preserve">3.2.5 Misallocation of a Scarce Time Budget</w:t>
      </w:r>
    </w:p>
    <w:p>
      <w:pPr>
        <w:spacing w:after="120" w:line="276"/>
      </w:pPr>
      <w:r>
        <w:rPr>
          <w:rFonts w:ascii="Calibri" w:cs="Calibri" w:eastAsia="Calibri" w:hAnsi="Calibri"/>
          <w:sz w:val="21"/>
          <w:szCs w:val="21"/>
        </w:rPr>
        <w:t xml:space="preserve">Preparing a properly tailored application takes one to two hours. A student in their final semester might realistically have five to ten hours per week available. That budget supports perhaps five to eight serious applications per week, against a candidate list that may run to fifty openings with staggered closing dates and widely varying preparation costs — a role whose requirements closely match the existing résumé may need twenty minutes, while a strong but differently-framed role may need two hours.</w:t>
      </w:r>
    </w:p>
    <w:p>
      <w:pPr>
        <w:spacing w:after="120" w:line="276"/>
      </w:pPr>
      <w:r>
        <w:rPr>
          <w:rFonts w:ascii="Calibri" w:cs="Calibri" w:eastAsia="Calibri" w:hAnsi="Calibri"/>
          <w:b/>
          <w:bCs/>
          <w:sz w:val="21"/>
          <w:szCs w:val="21"/>
        </w:rPr>
        <w:t xml:space="preserve">This is a resource-allocation problem under a hard budget constraint with deadlines, and it is the aspect of job seeking that no existing tool treats as one. </w:t>
      </w:r>
      <w:r>
        <w:rPr>
          <w:rFonts w:ascii="Calibri" w:cs="Calibri" w:eastAsia="Calibri" w:hAnsi="Calibri"/>
          <w:sz w:val="21"/>
          <w:szCs w:val="21"/>
        </w:rPr>
        <w:t xml:space="preserve">Ranking by match score alone gives the wrong answer, because it ignores the cost of acting on each item. It is entirely rational to prepare three moderately-matched applications requiring twenty minutes each in preference to one excellent match requiring two hours, and no ranked list can express that trade-off.</w:t>
      </w:r>
    </w:p>
    <w:p>
      <w:pPr>
        <w:pStyle w:val="Heading2"/>
        <w:spacing w:after="140" w:before="240"/>
      </w:pPr>
      <w:r>
        <w:rPr>
          <w:rFonts w:ascii="Calibri" w:cs="Calibri" w:eastAsia="Calibri" w:hAnsi="Calibri"/>
          <w:b/>
          <w:bCs/>
          <w:color w:val="1F3864"/>
          <w:sz w:val="25"/>
          <w:szCs w:val="25"/>
        </w:rPr>
        <w:t xml:space="preserve">3.3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30"/>
        <w:gridCol w:w="3030"/>
      </w:tblGrid>
      <w:tr>
        <w:trPr>
          <w:tblHeader/>
        </w:trPr>
        <w:tc>
          <w:tcPr>
            <w:tcW w:type="dxa" w:w="21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Segment</w:t>
            </w:r>
          </w:p>
        </w:tc>
        <w:tc>
          <w:tcPr>
            <w:tcW w:type="dxa" w:w="423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Characteristics</w:t>
            </w:r>
          </w:p>
        </w:tc>
        <w:tc>
          <w:tcPr>
            <w:tcW w:type="dxa" w:w="303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Primary Need</w:t>
            </w:r>
          </w:p>
        </w:tc>
      </w:tr>
      <w:tr>
        <w:tc>
          <w:tcPr>
            <w:tcW w:type="dxa" w:w="21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Penultimate-year undergraduates</w:t>
            </w:r>
          </w:p>
        </w:tc>
        <w:tc>
          <w:tcPr>
            <w:tcW w:type="dxa" w:w="423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Seeking summer internships; limited work experience; project-heavy résumés</w:t>
            </w:r>
          </w:p>
        </w:tc>
        <w:tc>
          <w:tcPr>
            <w:tcW w:type="dxa" w:w="303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Identify which openings are realistically attainable; learn how to present academic projects in industry terms</w:t>
            </w:r>
          </w:p>
        </w:tc>
      </w:tr>
      <w:tr>
        <w:tc>
          <w:tcPr>
            <w:tcW w:type="dxa" w:w="21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Final-year undergraduates and coursework master's students</w:t>
            </w:r>
          </w:p>
        </w:tc>
        <w:tc>
          <w:tcPr>
            <w:tcW w:type="dxa" w:w="423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Seeking graduate programmes and entry-level roles; competing directly against each other; under time pressure from coursework</w:t>
            </w:r>
          </w:p>
        </w:tc>
        <w:tc>
          <w:tcPr>
            <w:tcW w:type="dxa" w:w="303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Prioritise a shortlist under a severe time budget; tailor efficiently; understand rejection patterns</w:t>
            </w:r>
          </w:p>
        </w:tc>
      </w:tr>
      <w:tr>
        <w:tc>
          <w:tcPr>
            <w:tcW w:type="dxa" w:w="21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International students in Singapore</w:t>
            </w:r>
          </w:p>
        </w:tc>
        <w:tc>
          <w:tcPr>
            <w:tcW w:type="dxa" w:w="423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Additionally constrained by work-pass eligibility, which is often unstated in job descriptions</w:t>
            </w:r>
          </w:p>
        </w:tc>
        <w:tc>
          <w:tcPr>
            <w:tcW w:type="dxa" w:w="303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Filter out structurally ineligible roles before investing effort — the highest-value single function of the rule engine for this segment</w:t>
            </w:r>
          </w:p>
        </w:tc>
      </w:tr>
      <w:tr>
        <w:tc>
          <w:tcPr>
            <w:tcW w:type="dxa" w:w="21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Career switchers into IT</w:t>
            </w:r>
          </w:p>
        </w:tc>
        <w:tc>
          <w:tcPr>
            <w:tcW w:type="dxa" w:w="423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Non-computing first degree plus a conversion programme or self-study; strong transferable skills that keyword matching misses</w:t>
            </w:r>
          </w:p>
        </w:tc>
        <w:tc>
          <w:tcPr>
            <w:tcW w:type="dxa" w:w="303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Surface transferable-skill evidence that lexical matching discards</w:t>
            </w:r>
          </w:p>
        </w:tc>
      </w:tr>
    </w:tbl>
    <w:p>
      <w:pPr>
        <w:pStyle w:val="Heading2"/>
        <w:spacing w:after="140" w:before="240"/>
      </w:pPr>
      <w:r>
        <w:rPr>
          <w:rFonts w:ascii="Calibri" w:cs="Calibri" w:eastAsia="Calibri" w:hAnsi="Calibri"/>
          <w:b/>
          <w:bCs/>
          <w:color w:val="1F3864"/>
          <w:sz w:val="25"/>
          <w:szCs w:val="25"/>
        </w:rPr>
        <w:t xml:space="preserve">3.4 Usage Scenario</w:t>
      </w:r>
    </w:p>
    <w:p>
      <w:pPr>
        <w:pStyle w:val="ListParagraph"/>
        <w:numPr>
          <w:ilvl w:val="0"/>
          <w:numId w:val="3"/>
        </w:numPr>
        <w:spacing w:after="70" w:line="276"/>
      </w:pPr>
      <w:r>
        <w:rPr>
          <w:rFonts w:ascii="Calibri" w:cs="Calibri" w:eastAsia="Calibri" w:hAnsi="Calibri"/>
          <w:sz w:val="21"/>
          <w:szCs w:val="21"/>
        </w:rPr>
        <w:t xml:space="preserve">The student uploads a résumé and specifies target role families, preferred locations, graduation date, work-pass status and an available weekly time budget.</w:t>
      </w:r>
    </w:p>
    <w:p>
      <w:pPr>
        <w:pStyle w:val="ListParagraph"/>
        <w:numPr>
          <w:ilvl w:val="0"/>
          <w:numId w:val="3"/>
        </w:numPr>
        <w:spacing w:after="70" w:line="276"/>
      </w:pPr>
      <w:r>
        <w:rPr>
          <w:rFonts w:ascii="Calibri" w:cs="Calibri" w:eastAsia="Calibri" w:hAnsi="Calibri"/>
          <w:sz w:val="21"/>
          <w:szCs w:val="21"/>
        </w:rPr>
        <w:t xml:space="preserve">The system parses the résumé into a structured profile: education, skills with evidence spans, projects, internships, and constraints.</w:t>
      </w:r>
    </w:p>
    <w:p>
      <w:pPr>
        <w:pStyle w:val="ListParagraph"/>
        <w:numPr>
          <w:ilvl w:val="0"/>
          <w:numId w:val="3"/>
        </w:numPr>
        <w:spacing w:after="70" w:line="276"/>
      </w:pPr>
      <w:r>
        <w:rPr>
          <w:rFonts w:ascii="Calibri" w:cs="Calibri" w:eastAsia="Calibri" w:hAnsi="Calibri"/>
          <w:sz w:val="21"/>
          <w:szCs w:val="21"/>
        </w:rPr>
        <w:t xml:space="preserve">Job descriptions are ingested from configured sources, deduplicated, segmented, and parsed into the same structured schema.</w:t>
      </w:r>
    </w:p>
    <w:p>
      <w:pPr>
        <w:pStyle w:val="ListParagraph"/>
        <w:numPr>
          <w:ilvl w:val="0"/>
          <w:numId w:val="3"/>
        </w:numPr>
        <w:spacing w:after="70" w:line="276"/>
      </w:pPr>
      <w:r>
        <w:rPr>
          <w:rFonts w:ascii="Calibri" w:cs="Calibri" w:eastAsia="Calibri" w:hAnsi="Calibri"/>
          <w:sz w:val="21"/>
          <w:szCs w:val="21"/>
        </w:rPr>
        <w:t xml:space="preserve">The rule engine evaluates each opening against the student's hard constraints and returns a verdict of PASS, DEMOTE or REJECT together with the identifiers of the rules that fired.</w:t>
      </w:r>
    </w:p>
    <w:p>
      <w:pPr>
        <w:pStyle w:val="ListParagraph"/>
        <w:numPr>
          <w:ilvl w:val="0"/>
          <w:numId w:val="3"/>
        </w:numPr>
        <w:spacing w:after="70" w:line="276"/>
      </w:pPr>
      <w:r>
        <w:rPr>
          <w:rFonts w:ascii="Calibri" w:cs="Calibri" w:eastAsia="Calibri" w:hAnsi="Calibri"/>
          <w:sz w:val="21"/>
          <w:szCs w:val="21"/>
        </w:rPr>
        <w:t xml:space="preserve">Surviving openings are scored by the hybrid ranking engine and returned as a ranked list, each entry carrying a structured explanation.</w:t>
      </w:r>
    </w:p>
    <w:p>
      <w:pPr>
        <w:pStyle w:val="ListParagraph"/>
        <w:numPr>
          <w:ilvl w:val="0"/>
          <w:numId w:val="3"/>
        </w:numPr>
        <w:spacing w:after="70" w:line="276"/>
      </w:pPr>
      <w:r>
        <w:rPr>
          <w:rFonts w:ascii="Calibri" w:cs="Calibri" w:eastAsia="Calibri" w:hAnsi="Calibri"/>
          <w:sz w:val="21"/>
          <w:szCs w:val="21"/>
        </w:rPr>
        <w:t xml:space="preserve">The student reviews the list, inspects explanations and skill gaps, and selects target roles.</w:t>
      </w:r>
    </w:p>
    <w:p>
      <w:pPr>
        <w:pStyle w:val="ListParagraph"/>
        <w:numPr>
          <w:ilvl w:val="0"/>
          <w:numId w:val="3"/>
        </w:numPr>
        <w:spacing w:after="70" w:line="276"/>
      </w:pPr>
      <w:r>
        <w:rPr>
          <w:rFonts w:ascii="Calibri" w:cs="Calibri" w:eastAsia="Calibri" w:hAnsi="Calibri"/>
          <w:sz w:val="21"/>
          <w:szCs w:val="21"/>
        </w:rPr>
        <w:t xml:space="preserve">For each selected target the system produces a fact-checked résumé rewrite, a skill-gap report distinguishing transferable from hard gaps, and a retrieved interview preparation pack.</w:t>
      </w:r>
    </w:p>
    <w:p>
      <w:pPr>
        <w:pStyle w:val="ListParagraph"/>
        <w:numPr>
          <w:ilvl w:val="0"/>
          <w:numId w:val="3"/>
        </w:numPr>
        <w:spacing w:after="70" w:line="276"/>
      </w:pPr>
      <w:r>
        <w:rPr>
          <w:rFonts w:ascii="Calibri" w:cs="Calibri" w:eastAsia="Calibri" w:hAnsi="Calibri"/>
          <w:sz w:val="21"/>
          <w:szCs w:val="21"/>
        </w:rPr>
        <w:t xml:space="preserve">The optimiser produces a weekly application plan: which targets to prepare, in what order, respecting closing dates and the declared time budget.</w:t>
      </w:r>
    </w:p>
    <w:p>
      <w:pPr>
        <w:pStyle w:val="ListParagraph"/>
        <w:numPr>
          <w:ilvl w:val="0"/>
          <w:numId w:val="3"/>
        </w:numPr>
        <w:spacing w:after="70" w:line="276"/>
      </w:pPr>
      <w:r>
        <w:rPr>
          <w:rFonts w:ascii="Calibri" w:cs="Calibri" w:eastAsia="Calibri" w:hAnsi="Calibri"/>
          <w:sz w:val="21"/>
          <w:szCs w:val="21"/>
        </w:rPr>
        <w:t xml:space="preserve">The student reviews the plan and submits each application themselves through the employer's own channel.</w:t>
      </w:r>
    </w:p>
    <w:p>
      <w:r>
        <w:br w:type="page"/>
      </w:r>
    </w:p>
    <w:p>
      <w:pPr>
        <w:pStyle w:val="Heading1"/>
        <w:spacing w:after="140" w:before="360"/>
      </w:pPr>
      <w:r>
        <w:rPr>
          <w:rFonts w:ascii="Calibri" w:cs="Calibri" w:eastAsia="Calibri" w:hAnsi="Calibri"/>
          <w:b/>
          <w:bCs/>
          <w:color w:val="1F3864"/>
          <w:sz w:val="30"/>
          <w:szCs w:val="30"/>
        </w:rPr>
        <w:t xml:space="preserve">4. Literature Review and Market Research</w:t>
      </w:r>
    </w:p>
    <w:p>
      <w:pPr>
        <w:pStyle w:val="Heading2"/>
        <w:spacing w:after="140" w:before="240"/>
      </w:pPr>
      <w:r>
        <w:rPr>
          <w:rFonts w:ascii="Calibri" w:cs="Calibri" w:eastAsia="Calibri" w:hAnsi="Calibri"/>
          <w:b/>
          <w:bCs/>
          <w:color w:val="1F3864"/>
          <w:sz w:val="25"/>
          <w:szCs w:val="25"/>
        </w:rPr>
        <w:t xml:space="preserve">4.1 Academic Literature</w:t>
      </w:r>
    </w:p>
    <w:p>
      <w:pPr>
        <w:pStyle w:val="Heading3"/>
        <w:spacing w:after="140" w:before="240"/>
      </w:pPr>
      <w:r>
        <w:rPr>
          <w:rFonts w:ascii="Calibri" w:cs="Calibri" w:eastAsia="Calibri" w:hAnsi="Calibri"/>
          <w:b/>
          <w:bCs/>
          <w:color w:val="1F3864"/>
          <w:sz w:val="22"/>
          <w:szCs w:val="22"/>
        </w:rPr>
        <w:t xml:space="preserve">4.1.1 Person–Job Fit Modelling</w:t>
      </w:r>
    </w:p>
    <w:p>
      <w:pPr>
        <w:spacing w:after="120" w:line="276"/>
      </w:pPr>
      <w:r>
        <w:rPr>
          <w:rFonts w:ascii="Calibri" w:cs="Calibri" w:eastAsia="Calibri" w:hAnsi="Calibri"/>
          <w:sz w:val="21"/>
          <w:szCs w:val="21"/>
        </w:rPr>
        <w:t xml:space="preserve">Neural person–job fit has a well-established line of research. Zhu et al. (2018) introduced PJFNN, a convolutional joint-representation model that learns matching from historical recruitment records rather than from lexical overlap. Qin et al. (2018) extended this with APJFNN, a hierarchical recurrent architecture whose ability-aware attention mechanism scores candidate ability against each stated job requirement separately, rather than producing a single undifferentiated similarity. Bian et al. (2019) addressed the data-scarcity problem directly, transferring matching knowledge across industries at the sentence-representation, sentence-match and global-match levels. Yao et al. (2022) demonstrated that injecting external skill and occupation knowledge into the matching model improves both predictive performance and interpretability.</w:t>
      </w:r>
    </w:p>
    <w:p>
      <w:pPr>
        <w:spacing w:after="120" w:line="276"/>
      </w:pPr>
      <w:r>
        <w:rPr>
          <w:rFonts w:ascii="Calibri" w:cs="Calibri" w:eastAsia="Calibri" w:hAnsi="Calibri"/>
          <w:b/>
          <w:bCs/>
          <w:sz w:val="21"/>
          <w:szCs w:val="21"/>
        </w:rPr>
        <w:t xml:space="preserve">Two conclusions follow for this project. </w:t>
      </w:r>
      <w:r>
        <w:rPr>
          <w:rFonts w:ascii="Calibri" w:cs="Calibri" w:eastAsia="Calibri" w:hAnsi="Calibri"/>
          <w:sz w:val="21"/>
          <w:szCs w:val="21"/>
        </w:rPr>
        <w:t xml:space="preserve">First, the requirement-by-requirement attention of APJFNN and the knowledge injection of Yao et al. both indicate that decomposed matching outperforms whole-document similarity — which is the empirical basis for our decision to extract structured profiles before scoring rather than embedding entire documents. Second, all four of these models are trained on large proprietary recruitment logs containing genuine outcome labels. We have no such data. Our design therefore borrows the architectural insight (decompose, attend per requirement, inject knowledge) while implementing it through interpretable components that can be calibrated on a few hundred human annotations rather than trained on millions of interactions.</w:t>
      </w:r>
    </w:p>
    <w:p>
      <w:pPr>
        <w:pStyle w:val="Heading3"/>
        <w:spacing w:after="140" w:before="240"/>
      </w:pPr>
      <w:r>
        <w:rPr>
          <w:rFonts w:ascii="Calibri" w:cs="Calibri" w:eastAsia="Calibri" w:hAnsi="Calibri"/>
          <w:b/>
          <w:bCs/>
          <w:color w:val="1F3864"/>
          <w:sz w:val="22"/>
          <w:szCs w:val="22"/>
        </w:rPr>
        <w:t xml:space="preserve">4.1.2 Skill Extraction and Occupational Taxonomies</w:t>
      </w:r>
    </w:p>
    <w:p>
      <w:pPr>
        <w:spacing w:after="120" w:line="276"/>
      </w:pPr>
      <w:r>
        <w:rPr>
          <w:rFonts w:ascii="Calibri" w:cs="Calibri" w:eastAsia="Calibri" w:hAnsi="Calibri"/>
          <w:sz w:val="21"/>
          <w:szCs w:val="21"/>
        </w:rPr>
        <w:t xml:space="preserve">Zhang et al. (2022) released SkillSpan, a span-annotated corpus of 14,500 sentences covering hard and soft skill extraction from English job postings, and showed that domain-adapted BERT models substantially outperform generic ones on this task. Decorte et al. (2022) studied negative sampling for distantly supervised skill extraction and reported improvements of up to eight percentage points in RP@5 when negative examples are drawn using the structure of the ESCO taxonomy, while releasing an ESCO-grounded benchmark.</w:t>
      </w:r>
    </w:p>
    <w:p>
      <w:pPr>
        <w:spacing w:after="120" w:line="276"/>
      </w:pPr>
      <w:r>
        <w:rPr>
          <w:rFonts w:ascii="Calibri" w:cs="Calibri" w:eastAsia="Calibri" w:hAnsi="Calibri"/>
          <w:sz w:val="21"/>
          <w:szCs w:val="21"/>
        </w:rPr>
        <w:t xml:space="preserve">ESCO, the European Skills, Competences, Qualifications and Occupations classification maintained by the European Commission, is at version 1.2 and contains on the order of 13,900 skill and competence concepts linked to approximately 3,000 occupations in a two-pillar structure. The United States equivalent, O*NET, maintained by the National Center for O*NET Development, profiles 923 data-level occupations aligned to the SOC system. Both are freely available.</w:t>
      </w:r>
    </w:p>
    <w:p>
      <w:pPr>
        <w:spacing w:after="120" w:line="276"/>
      </w:pPr>
      <w:r>
        <w:rPr>
          <w:rFonts w:ascii="Calibri" w:cs="Calibri" w:eastAsia="Calibri" w:hAnsi="Calibri"/>
          <w:sz w:val="21"/>
          <w:szCs w:val="21"/>
        </w:rPr>
        <w:t xml:space="preserve">Adopting ESCO rather than hand-building a taxonomy is a deliberate scope decision. A hand-built taxonomy of the size we could produce within the module's effort budget would cover perhaps two hundred skills, would require continuous manual maintenance as the technology landscape shifts, and would contribute nothing methodologically. ESCO provides three orders of magnitude more coverage, a maintained alias structure that resolves the JavaScript/JS and Machine Learning/ML problem, and a graph structure over which multi-hop reasoning is meaningful.</w:t>
      </w:r>
    </w:p>
    <w:p>
      <w:pPr>
        <w:pStyle w:val="Heading3"/>
        <w:spacing w:after="140" w:before="240"/>
      </w:pPr>
      <w:r>
        <w:rPr>
          <w:rFonts w:ascii="Calibri" w:cs="Calibri" w:eastAsia="Calibri" w:hAnsi="Calibri"/>
          <w:b/>
          <w:bCs/>
          <w:color w:val="1F3864"/>
          <w:sz w:val="22"/>
          <w:szCs w:val="22"/>
        </w:rPr>
        <w:t xml:space="preserve">4.1.3 Knowledge Graph Embedding</w:t>
      </w:r>
    </w:p>
    <w:p>
      <w:pPr>
        <w:spacing w:after="120" w:line="276"/>
      </w:pPr>
      <w:r>
        <w:rPr>
          <w:rFonts w:ascii="Calibri" w:cs="Calibri" w:eastAsia="Calibri" w:hAnsi="Calibri"/>
          <w:sz w:val="21"/>
          <w:szCs w:val="21"/>
        </w:rPr>
        <w:t xml:space="preserve">The knowledge graph derived from ESCO will be incomplete relative to the terminology of real job postings. Knowledge graph embedding provides a principled way to complete it. Bordes et al. (2013) introduced TransE, modelling relations as translations in embedding space; Trouillon et al. (2016) proposed ComplEx, using complex-valued embeddings to represent asymmetric relations at linear cost; Sun et al. (2019) introduced RotatE, modelling relations as rotations in complex space and thereby capturing symmetry, inversion and composition patterns simultaneously. PyKEEN (Ali et al., 2021) provides a modular implementation of these models with integrated hyperparameter optimisation.</w:t>
      </w:r>
    </w:p>
    <w:p>
      <w:pPr>
        <w:spacing w:after="120" w:line="276"/>
      </w:pPr>
      <w:r>
        <w:rPr>
          <w:rFonts w:ascii="Calibri" w:cs="Calibri" w:eastAsia="Calibri" w:hAnsi="Calibri"/>
          <w:sz w:val="21"/>
          <w:szCs w:val="21"/>
        </w:rPr>
        <w:t xml:space="preserve">Our skill graph contains both symmetric relations (SIMILAR_TO) and asymmetric ones (IS_A), which argues for RotatE or ComplEx over TransE. We will treat the choice as an empirical question and report link-prediction performance for all three.</w:t>
      </w:r>
    </w:p>
    <w:p>
      <w:pPr>
        <w:pStyle w:val="Heading3"/>
        <w:spacing w:after="140" w:before="240"/>
      </w:pPr>
      <w:r>
        <w:rPr>
          <w:rFonts w:ascii="Calibri" w:cs="Calibri" w:eastAsia="Calibri" w:hAnsi="Calibri"/>
          <w:b/>
          <w:bCs/>
          <w:color w:val="1F3864"/>
          <w:sz w:val="22"/>
          <w:szCs w:val="22"/>
        </w:rPr>
        <w:t xml:space="preserve">4.1.4 Semantic Representation</w:t>
      </w:r>
    </w:p>
    <w:p>
      <w:pPr>
        <w:spacing w:after="120" w:line="276"/>
      </w:pPr>
      <w:r>
        <w:rPr>
          <w:rFonts w:ascii="Calibri" w:cs="Calibri" w:eastAsia="Calibri" w:hAnsi="Calibri"/>
          <w:sz w:val="21"/>
          <w:szCs w:val="21"/>
        </w:rPr>
        <w:t xml:space="preserve">Reimers and Gurevych (2019) introduced Sentence-BERT, a Siamese and triplet network architecture producing sentence embeddings that are directly comparable by cosine similarity, reducing the cost of pairwise similarity search over large collections from hours to seconds. This is the basis of our semantic similarity term and of retrieval in the interview preparation module.</w:t>
      </w:r>
    </w:p>
    <w:p>
      <w:pPr>
        <w:pStyle w:val="Heading3"/>
        <w:spacing w:after="140" w:before="240"/>
      </w:pPr>
      <w:r>
        <w:rPr>
          <w:rFonts w:ascii="Calibri" w:cs="Calibri" w:eastAsia="Calibri" w:hAnsi="Calibri"/>
          <w:b/>
          <w:bCs/>
          <w:color w:val="1F3864"/>
          <w:sz w:val="22"/>
          <w:szCs w:val="22"/>
        </w:rPr>
        <w:t xml:space="preserve">4.1.5 Explainability</w:t>
      </w:r>
    </w:p>
    <w:p>
      <w:pPr>
        <w:spacing w:after="120" w:line="276"/>
      </w:pPr>
      <w:r>
        <w:rPr>
          <w:rFonts w:ascii="Calibri" w:cs="Calibri" w:eastAsia="Calibri" w:hAnsi="Calibri"/>
          <w:sz w:val="21"/>
          <w:szCs w:val="21"/>
        </w:rPr>
        <w:t xml:space="preserve">Zhang and Chen (2020) survey explainable recommendation and organise the field by information source and model type. Their central distinction — between model-intrinsic explanations, which report the actual reasoning, and model-agnostic post-hoc explanations, which construct a plausible account after the fact — is the one we adopt. Our explanations are model-intrinsic by construction: every element of the explanation object is an artefact the reasoning produced, not text generated afterwards to justify a result.</w:t>
      </w:r>
    </w:p>
    <w:p>
      <w:pPr>
        <w:pStyle w:val="Heading3"/>
        <w:spacing w:after="140" w:before="240"/>
      </w:pPr>
      <w:r>
        <w:rPr>
          <w:rFonts w:ascii="Calibri" w:cs="Calibri" w:eastAsia="Calibri" w:hAnsi="Calibri"/>
          <w:b/>
          <w:bCs/>
          <w:color w:val="1F3864"/>
          <w:sz w:val="22"/>
          <w:szCs w:val="22"/>
        </w:rPr>
        <w:t xml:space="preserve">4.1.6 Faithfulness of Generated Text</w:t>
      </w:r>
    </w:p>
    <w:p>
      <w:pPr>
        <w:spacing w:after="120" w:line="276"/>
      </w:pPr>
      <w:r>
        <w:rPr>
          <w:rFonts w:ascii="Calibri" w:cs="Calibri" w:eastAsia="Calibri" w:hAnsi="Calibri"/>
          <w:sz w:val="21"/>
          <w:szCs w:val="21"/>
        </w:rPr>
        <w:t xml:space="preserve">Ji et al. (2023) survey hallucination in natural language generation and separate intrinsic hallucination, which contradicts the source, from extrinsic hallucination, which introduces content the source does not support. Résumé fabrication is predominantly extrinsic: the model adds a technology, a metric or a responsibility that the student never claimed. Lewis et al. (2020) established retrieval-augmented generation as the canonical approach to grounding generation in retrieved evidence. Es et al. (2024) propose RAGAS, a set of reference-free metrics for context relevance, answer relevance and faithfulness, which provides a template for our automated faithfulness check prior to human adjudication.</w:t>
      </w:r>
    </w:p>
    <w:p>
      <w:pPr>
        <w:pStyle w:val="Heading3"/>
        <w:spacing w:after="140" w:before="240"/>
      </w:pPr>
      <w:r>
        <w:rPr>
          <w:rFonts w:ascii="Calibri" w:cs="Calibri" w:eastAsia="Calibri" w:hAnsi="Calibri"/>
          <w:b/>
          <w:bCs/>
          <w:color w:val="1F3864"/>
          <w:sz w:val="22"/>
          <w:szCs w:val="22"/>
        </w:rPr>
        <w:t xml:space="preserve">4.1.7 Agent Orchestration and Combinatorial Optimisation</w:t>
      </w:r>
    </w:p>
    <w:p>
      <w:pPr>
        <w:spacing w:after="120" w:line="276"/>
      </w:pPr>
      <w:r>
        <w:rPr>
          <w:rFonts w:ascii="Calibri" w:cs="Calibri" w:eastAsia="Calibri" w:hAnsi="Calibri"/>
          <w:sz w:val="21"/>
          <w:szCs w:val="21"/>
        </w:rPr>
        <w:t xml:space="preserve">Yao et al. (2023) introduced ReAct, interleaving chain-of-thought reasoning with tool-invoking actions and demonstrating reduced hallucination through external grounding; this is the pattern for our orchestration layer. For the application planning problem, Goldberg (1989) remains the standard reference for genetic algorithm operators applied to combinatorial optimisation, and Fortin et al. (2012) describe DEAP, the Python framework we will use for implementation.</w:t>
      </w:r>
    </w:p>
    <w:p>
      <w:pPr>
        <w:pStyle w:val="Heading2"/>
        <w:spacing w:after="140" w:before="240"/>
      </w:pPr>
      <w:r>
        <w:rPr>
          <w:rFonts w:ascii="Calibri" w:cs="Calibri" w:eastAsia="Calibri" w:hAnsi="Calibri"/>
          <w:b/>
          <w:bCs/>
          <w:color w:val="1F3864"/>
          <w:sz w:val="25"/>
          <w:szCs w:val="25"/>
        </w:rPr>
        <w:t xml:space="preserve">4.2 Market Research</w:t>
      </w:r>
    </w:p>
    <w:p>
      <w:pPr>
        <w:pStyle w:val="Heading3"/>
        <w:spacing w:after="140" w:before="240"/>
      </w:pPr>
      <w:r>
        <w:rPr>
          <w:rFonts w:ascii="Calibri" w:cs="Calibri" w:eastAsia="Calibri" w:hAnsi="Calibri"/>
          <w:b/>
          <w:bCs/>
          <w:color w:val="1F3864"/>
          <w:sz w:val="22"/>
          <w:szCs w:val="22"/>
        </w:rPr>
        <w:t xml:space="preserve">4.2.1 Competitive Landscape</w:t>
      </w:r>
    </w:p>
    <w:p>
      <w:pPr>
        <w:spacing w:after="120" w:line="276"/>
      </w:pPr>
      <w:r>
        <w:rPr>
          <w:rFonts w:ascii="Calibri" w:cs="Calibri" w:eastAsia="Calibri" w:hAnsi="Calibri"/>
          <w:sz w:val="21"/>
          <w:szCs w:val="21"/>
        </w:rPr>
        <w:t xml:space="preserve">We surveyed eight products across three categories: job boards with recommendation, résumé optimisation tools, and automated application agents.</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400"/>
        <w:gridCol w:w="1300"/>
        <w:gridCol w:w="2810"/>
      </w:tblGrid>
      <w:tr>
        <w:trPr>
          <w:tblHeader/>
        </w:trPr>
        <w:tc>
          <w:tcPr>
            <w:tcW w:type="dxa" w:w="15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Product</w:t>
            </w:r>
          </w:p>
        </w:tc>
        <w:tc>
          <w:tcPr>
            <w:tcW w:type="dxa" w:w="135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Category</w:t>
            </w:r>
          </w:p>
        </w:tc>
        <w:tc>
          <w:tcPr>
            <w:tcW w:type="dxa" w:w="24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Matching Approach (as disclosed)</w:t>
            </w:r>
          </w:p>
        </w:tc>
        <w:tc>
          <w:tcPr>
            <w:tcW w:type="dxa" w:w="13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Pricing</w:t>
            </w:r>
          </w:p>
        </w:tc>
        <w:tc>
          <w:tcPr>
            <w:tcW w:type="dxa" w:w="281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Principal Limitation</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LinkedIn Jobs</w:t>
            </w:r>
          </w:p>
        </w:tc>
        <w:tc>
          <w:tcPr>
            <w:tcW w:type="dxa" w:w="135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Board + recommendation</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Activity embeddings over 28-day APPLY/SAVE/DISMISS sequences; CNN, LSTM and Transformer sequence models</w:t>
            </w:r>
          </w:p>
        </w:tc>
        <w:tc>
          <w:tcPr>
            <w:tcW w:type="dxa" w:w="13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tier</w:t>
            </w:r>
          </w:p>
        </w:tc>
        <w:tc>
          <w:tcPr>
            <w:tcW w:type="dxa" w:w="281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LinkedIn's own engineering blog reports that only about 20 million of 830 million members are active seekers, producing severe cold-start and sparsity; batch processing introduces serving delay; only job-interaction signals are used</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Indeed / Glassdoor</w:t>
            </w:r>
          </w:p>
        </w:tc>
        <w:tc>
          <w:tcPr>
            <w:tcW w:type="dxa" w:w="135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Board</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Not technically disclosed</w:t>
            </w:r>
          </w:p>
        </w:tc>
        <w:tc>
          <w:tcPr>
            <w:tcW w:type="dxa" w:w="1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to seekers</w:t>
            </w:r>
          </w:p>
        </w:tc>
        <w:tc>
          <w:tcPr>
            <w:tcW w:type="dxa" w:w="281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 résumé tailoring, no gap analysis, no explanation</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MyCareersFuture</w:t>
            </w:r>
          </w:p>
        </w:tc>
        <w:tc>
          <w:tcPr>
            <w:tcW w:type="dxa" w:w="135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Government portal (WSG)</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Skills-based matching claimed; algorithm not published</w:t>
            </w:r>
          </w:p>
        </w:tc>
        <w:tc>
          <w:tcPr>
            <w:tcW w:type="dxa" w:w="13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w:t>
            </w:r>
          </w:p>
        </w:tc>
        <w:tc>
          <w:tcPr>
            <w:tcW w:type="dxa" w:w="281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MOM reported that about six in ten of the 2023 cohort of users secured employment within six months; no explanation, no tailoring, Singapore-only</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InternSG</w:t>
            </w:r>
          </w:p>
        </w:tc>
        <w:tc>
          <w:tcPr>
            <w:tcW w:type="dxa" w:w="135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Listing aggregator</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None — keyword search and browse only</w:t>
            </w:r>
          </w:p>
        </w:tc>
        <w:tc>
          <w:tcPr>
            <w:tcW w:type="dxa" w:w="1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w:t>
            </w:r>
          </w:p>
        </w:tc>
        <w:tc>
          <w:tcPr>
            <w:tcW w:type="dxa" w:w="281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 personalisation whatsoever</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Handshake</w:t>
            </w:r>
          </w:p>
        </w:tc>
        <w:tc>
          <w:tcPr>
            <w:tcW w:type="dxa" w:w="135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Student platform</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Profile-based suggestions; no model disclosed</w:t>
            </w:r>
          </w:p>
        </w:tc>
        <w:tc>
          <w:tcPr>
            <w:tcW w:type="dxa" w:w="13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Not disclosed</w:t>
            </w:r>
          </w:p>
        </w:tc>
        <w:tc>
          <w:tcPr>
            <w:tcW w:type="dxa" w:w="281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Requires institutional partnership; no résumé optimisation</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Jobscan</w:t>
            </w:r>
          </w:p>
        </w:tc>
        <w:tc>
          <w:tcPr>
            <w:tcW w:type="dxa" w:w="135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Résumé optimisation</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Match rate computed over five priorities: hard skills, education level, job title, soft skills, other keywords</w:t>
            </w:r>
          </w:p>
        </w:tc>
        <w:tc>
          <w:tcPr>
            <w:tcW w:type="dxa" w:w="1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Not verified</w:t>
            </w:r>
          </w:p>
        </w:tc>
        <w:tc>
          <w:tcPr>
            <w:tcW w:type="dxa" w:w="281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Vendor itself states that scores above 75% may not be achievable without keyword stuffing, and warns of over-optimised résumés. Lexical only; no job discovery</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Teal HQ</w:t>
            </w:r>
          </w:p>
        </w:tc>
        <w:tc>
          <w:tcPr>
            <w:tcW w:type="dxa" w:w="135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Tracker + résumé builder</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Keyword match score against a pasted job description</w:t>
            </w:r>
          </w:p>
        </w:tc>
        <w:tc>
          <w:tcPr>
            <w:tcW w:type="dxa" w:w="13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tier; Teal+ US$29/month</w:t>
            </w:r>
          </w:p>
        </w:tc>
        <w:tc>
          <w:tcPr>
            <w:tcW w:type="dxa" w:w="281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tier limited to top five keywords, ten AI bullet credits; no job discovery; no reasoning over skill relationships</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Rezi</w:t>
            </w:r>
          </w:p>
        </w:tc>
        <w:tc>
          <w:tcPr>
            <w:tcW w:type="dxa" w:w="135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Résumé builder</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Rezi Score over 23 ATS-compatibility metrics</w:t>
            </w:r>
          </w:p>
        </w:tc>
        <w:tc>
          <w:tcPr>
            <w:tcW w:type="dxa" w:w="1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Pro US$29/month; Lifetime US$149</w:t>
            </w:r>
          </w:p>
        </w:tc>
        <w:tc>
          <w:tcPr>
            <w:tcW w:type="dxa" w:w="281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Self-reported outcome claims with no published methodology; no job discovery or ranking</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LazyApply</w:t>
            </w:r>
          </w:p>
        </w:tc>
        <w:tc>
          <w:tcPr>
            <w:tcW w:type="dxa" w:w="135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Bulk auto-apply</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Volume automation; no matching</w:t>
            </w:r>
          </w:p>
        </w:tc>
        <w:tc>
          <w:tcPr>
            <w:tcW w:type="dxa" w:w="13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US$99–US$999 one-off</w:t>
            </w:r>
          </w:p>
        </w:tc>
        <w:tc>
          <w:tcPr>
            <w:tcW w:type="dxa" w:w="281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Directly conflicts with Indeed's terms of service (see 4.2.2)</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AIHawk / Jobs_Applier_AI_Agent</w:t>
            </w:r>
          </w:p>
        </w:tc>
        <w:tc>
          <w:tcPr>
            <w:tcW w:type="dxa" w:w="135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Open-source auto-apply agent</w:t>
            </w:r>
          </w:p>
        </w:tc>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Browser automation</w:t>
            </w:r>
          </w:p>
        </w:tc>
        <w:tc>
          <w:tcPr>
            <w:tcW w:type="dxa" w:w="1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Free, open source</w:t>
            </w:r>
          </w:p>
        </w:tc>
        <w:tc>
          <w:tcPr>
            <w:tcW w:type="dxa" w:w="281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The project's own documentation instructs users to respect site terms and rate limits and not to submit anything a human has not read</w:t>
            </w:r>
          </w:p>
        </w:tc>
      </w:tr>
    </w:tbl>
    <w:p>
      <w:pPr>
        <w:spacing w:after="220" w:before="80"/>
        <w:jc w:val="center"/>
      </w:pPr>
      <w:r>
        <w:rPr>
          <w:rFonts w:ascii="Calibri" w:cs="Calibri" w:eastAsia="Calibri" w:hAnsi="Calibri"/>
          <w:i/>
          <w:iCs/>
          <w:color w:val="595959"/>
          <w:sz w:val="18"/>
          <w:szCs w:val="18"/>
        </w:rPr>
        <w:t xml:space="preserve">Figure 1. Competitive landscape. Sources are listed in Section 4.3.</w:t>
      </w:r>
    </w:p>
    <w:p>
      <w:pPr>
        <w:pStyle w:val="Heading3"/>
        <w:spacing w:after="140" w:before="240"/>
      </w:pPr>
      <w:r>
        <w:rPr>
          <w:rFonts w:ascii="Calibri" w:cs="Calibri" w:eastAsia="Calibri" w:hAnsi="Calibri"/>
          <w:b/>
          <w:bCs/>
          <w:color w:val="1F3864"/>
          <w:sz w:val="22"/>
          <w:szCs w:val="22"/>
        </w:rPr>
        <w:t xml:space="preserve">4.2.2 Terms of Service and the Automated Application Question</w:t>
      </w:r>
    </w:p>
    <w:p>
      <w:pPr>
        <w:spacing w:after="120" w:line="276"/>
      </w:pPr>
      <w:r>
        <w:rPr>
          <w:rFonts w:ascii="Calibri" w:cs="Calibri" w:eastAsia="Calibri" w:hAnsi="Calibri"/>
          <w:sz w:val="21"/>
          <w:szCs w:val="21"/>
        </w:rPr>
        <w:t xml:space="preserve">Because our project deliberately declines to automate submission, and because a reader may reasonably ask why, the constraint deserves explicit citation.</w:t>
      </w:r>
    </w:p>
    <w:p>
      <w:pPr>
        <w:spacing w:after="120" w:line="276"/>
      </w:pPr>
      <w:r>
        <w:rPr>
          <w:rFonts w:ascii="Calibri" w:cs="Calibri" w:eastAsia="Calibri" w:hAnsi="Calibri"/>
          <w:sz w:val="21"/>
          <w:szCs w:val="21"/>
        </w:rPr>
        <w:t xml:space="preserve">Indeed's Terms of Service, section A.3.5, states: </w:t>
      </w:r>
      <w:r>
        <w:rPr>
          <w:rFonts w:ascii="Calibri" w:cs="Calibri" w:eastAsia="Calibri" w:hAnsi="Calibri"/>
          <w:i/>
          <w:iCs/>
          <w:sz w:val="21"/>
          <w:szCs w:val="21"/>
        </w:rPr>
        <w:t xml:space="preserve">"Use of any automation, scripting, or bots to automate the Indeed Apply process outside of Indeed's official vendors and tooling is prohibited."</w:t>
      </w:r>
    </w:p>
    <w:p>
      <w:pPr>
        <w:spacing w:after="120" w:line="276"/>
      </w:pPr>
      <w:r>
        <w:rPr>
          <w:rFonts w:ascii="Calibri" w:cs="Calibri" w:eastAsia="Calibri" w:hAnsi="Calibri"/>
          <w:sz w:val="21"/>
          <w:szCs w:val="21"/>
        </w:rPr>
        <w:t xml:space="preserve">LinkedIn's User Agreement, section 8.2, prohibits members from </w:t>
      </w:r>
      <w:r>
        <w:rPr>
          <w:rFonts w:ascii="Calibri" w:cs="Calibri" w:eastAsia="Calibri" w:hAnsi="Calibri"/>
          <w:i/>
          <w:iCs/>
          <w:sz w:val="21"/>
          <w:szCs w:val="21"/>
        </w:rPr>
        <w:t xml:space="preserve">"[using] manual or automated software, devices, scripts, robots, other means or processes to access, 'scrape,' 'crawl' or 'spider' the Services"</w:t>
      </w:r>
      <w:r>
        <w:rPr>
          <w:rFonts w:ascii="Calibri" w:cs="Calibri" w:eastAsia="Calibri" w:hAnsi="Calibri"/>
          <w:sz w:val="21"/>
          <w:szCs w:val="21"/>
        </w:rPr>
        <w:t xml:space="preserve"> and from </w:t>
      </w:r>
      <w:r>
        <w:rPr>
          <w:rFonts w:ascii="Calibri" w:cs="Calibri" w:eastAsia="Calibri" w:hAnsi="Calibri"/>
          <w:i/>
          <w:iCs/>
          <w:sz w:val="21"/>
          <w:szCs w:val="21"/>
        </w:rPr>
        <w:t xml:space="preserve">"[using] bots or other automated methods to access the Services."</w:t>
      </w:r>
      <w:r>
        <w:rPr>
          <w:rFonts w:ascii="Calibri" w:cs="Calibri" w:eastAsia="Calibri" w:hAnsi="Calibri"/>
          <w:sz w:val="21"/>
          <w:szCs w:val="21"/>
        </w:rPr>
        <w:t xml:space="preserve"> These clauses are quoted verbatim in the published opinion in hiQ Labs v. LinkedIn.</w:t>
      </w:r>
    </w:p>
    <w:p>
      <w:pPr>
        <w:spacing w:after="120" w:line="276"/>
      </w:pPr>
      <w:r>
        <w:rPr>
          <w:rFonts w:ascii="Calibri" w:cs="Calibri" w:eastAsia="Calibri" w:hAnsi="Calibri"/>
          <w:sz w:val="21"/>
          <w:szCs w:val="21"/>
        </w:rPr>
        <w:t xml:space="preserve">The market position of the auto-apply category is therefore untenable on compliance grounds independently of whether it works. The evidence suggests it also does not work well: the Greenhouse data on rising volume and prompt injection describes a market in which undifferentiated automated volume is actively degrading outcomes for everyone. This informs our design directly. IT CareerPilot generates a complete application package — a tailored résumé, a draft cover letter, the application link and an interview preparation pack — and hands it to the student to submit. The student retains a compliant, reviewed submission; the system retains all of the substantive value; and the design point becomes a documented contribution rather than a limitation.</w:t>
      </w:r>
    </w:p>
    <w:p>
      <w:pPr>
        <w:pStyle w:val="Heading3"/>
        <w:spacing w:after="140" w:before="240"/>
      </w:pPr>
      <w:r>
        <w:rPr>
          <w:rFonts w:ascii="Calibri" w:cs="Calibri" w:eastAsia="Calibri" w:hAnsi="Calibri"/>
          <w:b/>
          <w:bCs/>
          <w:color w:val="1F3864"/>
          <w:sz w:val="22"/>
          <w:szCs w:val="22"/>
        </w:rPr>
        <w:t xml:space="preserve">4.2.3 Market Size and Trend</w:t>
      </w:r>
    </w:p>
    <w:p>
      <w:pPr>
        <w:spacing w:after="120" w:line="276"/>
      </w:pPr>
      <w:r>
        <w:rPr>
          <w:rFonts w:ascii="Calibri" w:cs="Calibri" w:eastAsia="Calibri" w:hAnsi="Calibri"/>
          <w:sz w:val="21"/>
          <w:szCs w:val="21"/>
        </w:rPr>
        <w:t xml:space="preserve">The global résumé builder market was valued at approximately US$8.86 billion in 2025 with a projection of US$9.52 billion in 2026 and US$12.55 billion by 2030, a compound annual growth rate of roughly 7.2–7.4%, according to The Business Research Company. This figure comes from a commercial vendor whose methodology is not published and should be read as indicative of direction rather than precise. The direction is corroborated by independent observations: LinkedIn's reported 45% year-on-year growth in application volume, and the Greenhouse finding that three in four seekers now use AI in their applications.</w:t>
      </w:r>
    </w:p>
    <w:p>
      <w:pPr>
        <w:pStyle w:val="Heading3"/>
        <w:spacing w:after="140" w:before="240"/>
      </w:pPr>
      <w:r>
        <w:rPr>
          <w:rFonts w:ascii="Calibri" w:cs="Calibri" w:eastAsia="Calibri" w:hAnsi="Calibri"/>
          <w:b/>
          <w:bCs/>
          <w:color w:val="1F3864"/>
          <w:sz w:val="22"/>
          <w:szCs w:val="22"/>
        </w:rPr>
        <w:t xml:space="preserve">4.2.4 The Identified Gap</w:t>
      </w:r>
    </w:p>
    <w:p>
      <w:pPr>
        <w:spacing w:after="120" w:line="276"/>
      </w:pPr>
      <w:r>
        <w:rPr>
          <w:rFonts w:ascii="Calibri" w:cs="Calibri" w:eastAsia="Calibri" w:hAnsi="Calibri"/>
          <w:sz w:val="21"/>
          <w:szCs w:val="21"/>
        </w:rPr>
        <w:t xml:space="preserve">The surveyed market divides into two poles, and neither serves the target user.</w:t>
      </w:r>
    </w:p>
    <w:p>
      <w:pPr>
        <w:pStyle w:val="ListParagraph"/>
        <w:numPr>
          <w:ilvl w:val="0"/>
          <w:numId w:val="2"/>
        </w:numPr>
        <w:spacing w:after="70" w:line="276"/>
      </w:pPr>
      <w:r>
        <w:rPr>
          <w:rFonts w:ascii="Calibri" w:cs="Calibri" w:eastAsia="Calibri" w:hAnsi="Calibri"/>
          <w:sz w:val="21"/>
          <w:szCs w:val="21"/>
        </w:rPr>
        <w:t xml:space="preserve">At one pole, lexical résumé scorers (Jobscan, Teal, Rezi) charge roughly US$29 per month for keyword overlap analysis. They cannot discover jobs, cannot reason about skill relationships, cannot distinguish a transferable gap from a hard one, and — by their own vendors' admission — can push users toward keyword stuffing.</w:t>
      </w:r>
    </w:p>
    <w:p>
      <w:pPr>
        <w:pStyle w:val="ListParagraph"/>
        <w:numPr>
          <w:ilvl w:val="0"/>
          <w:numId w:val="2"/>
        </w:numPr>
        <w:spacing w:after="70" w:line="276"/>
      </w:pPr>
      <w:r>
        <w:rPr>
          <w:rFonts w:ascii="Calibri" w:cs="Calibri" w:eastAsia="Calibri" w:hAnsi="Calibri"/>
          <w:sz w:val="21"/>
          <w:szCs w:val="21"/>
        </w:rPr>
        <w:t xml:space="preserve">At the other pole, bulk auto-application tools contravene platform terms of service and contribute to the volume inflation that is degrading the market.</w:t>
      </w:r>
    </w:p>
    <w:p>
      <w:pPr>
        <w:pStyle w:val="ListParagraph"/>
        <w:numPr>
          <w:ilvl w:val="0"/>
          <w:numId w:val="2"/>
        </w:numPr>
        <w:spacing w:after="70" w:line="276"/>
      </w:pPr>
      <w:r>
        <w:rPr>
          <w:rFonts w:ascii="Calibri" w:cs="Calibri" w:eastAsia="Calibri" w:hAnsi="Calibri"/>
          <w:sz w:val="21"/>
          <w:szCs w:val="21"/>
        </w:rPr>
        <w:t xml:space="preserve">In between, job boards and government portals aggregate listings and rank them opaquely, without tailoring, explanation or planning support.</w:t>
      </w:r>
    </w:p>
    <w:p>
      <w:pPr>
        <w:spacing w:after="120" w:line="276"/>
      </w:pPr>
      <w:r>
        <w:rPr>
          <w:rFonts w:ascii="Calibri" w:cs="Calibri" w:eastAsia="Calibri" w:hAnsi="Calibri"/>
          <w:b/>
          <w:bCs/>
          <w:sz w:val="21"/>
          <w:szCs w:val="21"/>
        </w:rPr>
        <w:t xml:space="preserve">No surveyed product performs eligibility reasoning over hard constraints, ranks with a decomposable and explainable score, reasons over a skill taxonomy to classify gaps by type, rewrites under verified factual constraints, and plans application effort under a time budget. That combination is the opportunity IT CareerPilot addresses.</w:t>
      </w:r>
    </w:p>
    <w:p>
      <w:pPr>
        <w:pStyle w:val="Heading2"/>
        <w:spacing w:after="140" w:before="240"/>
      </w:pPr>
      <w:r>
        <w:rPr>
          <w:rFonts w:ascii="Calibri" w:cs="Calibri" w:eastAsia="Calibri" w:hAnsi="Calibri"/>
          <w:b/>
          <w:bCs/>
          <w:color w:val="1F3864"/>
          <w:sz w:val="25"/>
          <w:szCs w:val="25"/>
        </w:rPr>
        <w:t xml:space="preserve">4.3 References</w:t>
      </w:r>
    </w:p>
    <w:p>
      <w:pPr>
        <w:spacing w:after="80" w:line="252"/>
        <w:ind w:left="504" w:hanging="504"/>
      </w:pPr>
      <w:r>
        <w:rPr>
          <w:rFonts w:ascii="Calibri" w:cs="Calibri" w:eastAsia="Calibri" w:hAnsi="Calibri"/>
          <w:sz w:val="18"/>
          <w:szCs w:val="18"/>
        </w:rPr>
        <w:t xml:space="preserve">Ali, M., Berrendorf, M., Hoyt, C. T., Vermue, L., Sharifzadeh, S., Tresp, V., &amp; Lehmann, J. (2021). PyKEEN 1.0: A Python Library for Training and Evaluating Knowledge Graph Embeddings. Journal of Machine Learning Research, 22(82), 1–6.</w:t>
      </w:r>
    </w:p>
    <w:p>
      <w:pPr>
        <w:spacing w:after="80" w:line="252"/>
        <w:ind w:left="504" w:hanging="504"/>
      </w:pPr>
      <w:r>
        <w:rPr>
          <w:rFonts w:ascii="Calibri" w:cs="Calibri" w:eastAsia="Calibri" w:hAnsi="Calibri"/>
          <w:sz w:val="18"/>
          <w:szCs w:val="18"/>
        </w:rPr>
        <w:t xml:space="preserve">Bian, S., Zhao, W. X., Song, Y., Zhang, T., &amp; Wen, J.-R. (2019). Domain Adaptation for Person-Job Fit with Transferable Deep Global Match Network. EMNLP-IJCNLP 2019, 4810–4820.</w:t>
      </w:r>
    </w:p>
    <w:p>
      <w:pPr>
        <w:spacing w:after="80" w:line="252"/>
        <w:ind w:left="504" w:hanging="504"/>
      </w:pPr>
      <w:r>
        <w:rPr>
          <w:rFonts w:ascii="Calibri" w:cs="Calibri" w:eastAsia="Calibri" w:hAnsi="Calibri"/>
          <w:sz w:val="18"/>
          <w:szCs w:val="18"/>
        </w:rPr>
        <w:t xml:space="preserve">Bordes, A., Usunier, N., García-Durán, A., Weston, J., &amp; Yakhnenko, O. (2013). Translating Embeddings for Modeling Multi-relational Data. NIPS 2013, 2787–2795.</w:t>
      </w:r>
    </w:p>
    <w:p>
      <w:pPr>
        <w:spacing w:after="80" w:line="252"/>
        <w:ind w:left="504" w:hanging="504"/>
      </w:pPr>
      <w:r>
        <w:rPr>
          <w:rFonts w:ascii="Calibri" w:cs="Calibri" w:eastAsia="Calibri" w:hAnsi="Calibri"/>
          <w:sz w:val="18"/>
          <w:szCs w:val="18"/>
        </w:rPr>
        <w:t xml:space="preserve">Decorte, J.-J., Van Hautte, J., Deleu, J., Develder, C., &amp; Demeester, T. (2022). Design of Negative Sampling Strategies for Distantly Supervised Skill Extraction. arXiv:2209.05987.</w:t>
      </w:r>
    </w:p>
    <w:p>
      <w:pPr>
        <w:spacing w:after="80" w:line="252"/>
        <w:ind w:left="504" w:hanging="504"/>
      </w:pPr>
      <w:r>
        <w:rPr>
          <w:rFonts w:ascii="Calibri" w:cs="Calibri" w:eastAsia="Calibri" w:hAnsi="Calibri"/>
          <w:sz w:val="18"/>
          <w:szCs w:val="18"/>
        </w:rPr>
        <w:t xml:space="preserve">Es, S., James, J., Espinosa Anke, L., &amp; Schockaert, S. (2024). RAGAs: Automated Evaluation of Retrieval Augmented Generation. EACL 2024 System Demonstrations, 150–158.</w:t>
      </w:r>
    </w:p>
    <w:p>
      <w:pPr>
        <w:spacing w:after="80" w:line="252"/>
        <w:ind w:left="504" w:hanging="504"/>
      </w:pPr>
      <w:r>
        <w:rPr>
          <w:rFonts w:ascii="Calibri" w:cs="Calibri" w:eastAsia="Calibri" w:hAnsi="Calibri"/>
          <w:sz w:val="18"/>
          <w:szCs w:val="18"/>
        </w:rPr>
        <w:t xml:space="preserve">European Commission, DG Employment, Social Affairs and Inclusion (2024). ESCO — European Skills, Competences, Qualifications and Occupations classification, v1.2. https://esco.ec.europa.eu</w:t>
      </w:r>
    </w:p>
    <w:p>
      <w:pPr>
        <w:spacing w:after="80" w:line="252"/>
        <w:ind w:left="504" w:hanging="504"/>
      </w:pPr>
      <w:r>
        <w:rPr>
          <w:rFonts w:ascii="Calibri" w:cs="Calibri" w:eastAsia="Calibri" w:hAnsi="Calibri"/>
          <w:sz w:val="18"/>
          <w:szCs w:val="18"/>
        </w:rPr>
        <w:t xml:space="preserve">Fortin, F.-A., De Rainville, F.-M., Gardner, M.-A., Parizeau, M., &amp; Gagné, C. (2012). DEAP: Evolutionary Algorithms Made Easy. Journal of Machine Learning Research, 13, 2171–2175.</w:t>
      </w:r>
    </w:p>
    <w:p>
      <w:pPr>
        <w:spacing w:after="80" w:line="252"/>
        <w:ind w:left="504" w:hanging="504"/>
      </w:pPr>
      <w:r>
        <w:rPr>
          <w:rFonts w:ascii="Calibri" w:cs="Calibri" w:eastAsia="Calibri" w:hAnsi="Calibri"/>
          <w:sz w:val="18"/>
          <w:szCs w:val="18"/>
        </w:rPr>
        <w:t xml:space="preserve">Goldberg, D. E. (1989). Genetic Algorithms in Search, Optimization, and Machine Learning. Addison-Wesley.</w:t>
      </w:r>
    </w:p>
    <w:p>
      <w:pPr>
        <w:spacing w:after="80" w:line="252"/>
        <w:ind w:left="504" w:hanging="504"/>
      </w:pPr>
      <w:r>
        <w:rPr>
          <w:rFonts w:ascii="Calibri" w:cs="Calibri" w:eastAsia="Calibri" w:hAnsi="Calibri"/>
          <w:sz w:val="18"/>
          <w:szCs w:val="18"/>
        </w:rPr>
        <w:t xml:space="preserve">Greenhouse (2025). AI in Hiring Report 2025. Reported in Fortune, 18 November 2025.</w:t>
      </w:r>
    </w:p>
    <w:p>
      <w:pPr>
        <w:spacing w:after="80" w:line="252"/>
        <w:ind w:left="504" w:hanging="504"/>
      </w:pPr>
      <w:r>
        <w:rPr>
          <w:rFonts w:ascii="Calibri" w:cs="Calibri" w:eastAsia="Calibri" w:hAnsi="Calibri"/>
          <w:sz w:val="18"/>
          <w:szCs w:val="18"/>
        </w:rPr>
        <w:t xml:space="preserve">Huntr (2025). 2025 Annual Job Search Trends Report (n = 1,049). https://huntr.co/research/2025-annual-job-search-trends-report</w:t>
      </w:r>
    </w:p>
    <w:p>
      <w:pPr>
        <w:spacing w:after="80" w:line="252"/>
        <w:ind w:left="504" w:hanging="504"/>
      </w:pPr>
      <w:r>
        <w:rPr>
          <w:rFonts w:ascii="Calibri" w:cs="Calibri" w:eastAsia="Calibri" w:hAnsi="Calibri"/>
          <w:sz w:val="18"/>
          <w:szCs w:val="18"/>
        </w:rPr>
        <w:t xml:space="preserve">Ji, Z., Lee, N., Frieske, R., Yu, T., Su, D., Xu, Y., Ishii, E., Bang, Y., Chen, D., Dai, W., Chan, H. S., Madotto, A., &amp; Fung, P. (2023). Survey of Hallucination in Natural Language Generation. ACM Computing Surveys, 55(12), Article 248.</w:t>
      </w:r>
    </w:p>
    <w:p>
      <w:pPr>
        <w:spacing w:after="80" w:line="252"/>
        <w:ind w:left="504" w:hanging="504"/>
      </w:pPr>
      <w:r>
        <w:rPr>
          <w:rFonts w:ascii="Calibri" w:cs="Calibri" w:eastAsia="Calibri" w:hAnsi="Calibri"/>
          <w:sz w:val="18"/>
          <w:szCs w:val="18"/>
        </w:rPr>
        <w:t xml:space="preserve">Lewis, P., Perez, E., Piktus, A., Petroni, F., Karpukhin, V., Goyal, N., Küttler, H., Lewis, M., Yih, W., Rocktäschel, T., Riedel, S., &amp; Kiela, D. (2020). Retrieval-Augmented Generation for Knowledge-Intensive NLP Tasks. NeurIPS 2020.</w:t>
      </w:r>
    </w:p>
    <w:p>
      <w:pPr>
        <w:spacing w:after="80" w:line="252"/>
        <w:ind w:left="504" w:hanging="504"/>
      </w:pPr>
      <w:r>
        <w:rPr>
          <w:rFonts w:ascii="Calibri" w:cs="Calibri" w:eastAsia="Calibri" w:hAnsi="Calibri"/>
          <w:sz w:val="18"/>
          <w:szCs w:val="18"/>
        </w:rPr>
        <w:t xml:space="preserve">LinkedIn Engineering (2022). Improving Job Matching with Machine-Learned Activity Features. https://engineering.linkedin.com/blog</w:t>
      </w:r>
    </w:p>
    <w:p>
      <w:pPr>
        <w:spacing w:after="80" w:line="252"/>
        <w:ind w:left="504" w:hanging="504"/>
      </w:pPr>
      <w:r>
        <w:rPr>
          <w:rFonts w:ascii="Calibri" w:cs="Calibri" w:eastAsia="Calibri" w:hAnsi="Calibri"/>
          <w:sz w:val="18"/>
          <w:szCs w:val="18"/>
        </w:rPr>
        <w:t xml:space="preserve">Ministry of Manpower, Singapore (2026). Labour Market Report 1Q 2026. https://stats.mom.gov.sg</w:t>
      </w:r>
    </w:p>
    <w:p>
      <w:pPr>
        <w:spacing w:after="80" w:line="252"/>
        <w:ind w:left="504" w:hanging="504"/>
      </w:pPr>
      <w:r>
        <w:rPr>
          <w:rFonts w:ascii="Calibri" w:cs="Calibri" w:eastAsia="Calibri" w:hAnsi="Calibri"/>
          <w:sz w:val="18"/>
          <w:szCs w:val="18"/>
        </w:rPr>
        <w:t xml:space="preserve">Ministry of Manpower, Singapore (2026). Job Vacancies Report 2025, released 20 March 2026. https://stats.mom.gov.sg/Pages/Job-Vacancies-2025.aspx</w:t>
      </w:r>
    </w:p>
    <w:p>
      <w:pPr>
        <w:spacing w:after="80" w:line="252"/>
        <w:ind w:left="504" w:hanging="504"/>
      </w:pPr>
      <w:r>
        <w:rPr>
          <w:rFonts w:ascii="Calibri" w:cs="Calibri" w:eastAsia="Calibri" w:hAnsi="Calibri"/>
          <w:sz w:val="18"/>
          <w:szCs w:val="18"/>
        </w:rPr>
        <w:t xml:space="preserve">Ministry of Manpower, Singapore (2025). Written Answer to PQ on WSG Job Matching Efforts, 8 April 2025.</w:t>
      </w:r>
    </w:p>
    <w:p>
      <w:pPr>
        <w:spacing w:after="80" w:line="252"/>
        <w:ind w:left="504" w:hanging="504"/>
      </w:pPr>
      <w:r>
        <w:rPr>
          <w:rFonts w:ascii="Calibri" w:cs="Calibri" w:eastAsia="Calibri" w:hAnsi="Calibri"/>
          <w:sz w:val="18"/>
          <w:szCs w:val="18"/>
        </w:rPr>
        <w:t xml:space="preserve">National Center for O*NET Development (n.d.). O*NET OnLine. U.S. Department of Labor. https://www.onetonline.org</w:t>
      </w:r>
    </w:p>
    <w:p>
      <w:pPr>
        <w:spacing w:after="80" w:line="252"/>
        <w:ind w:left="504" w:hanging="504"/>
      </w:pPr>
      <w:r>
        <w:rPr>
          <w:rFonts w:ascii="Calibri" w:cs="Calibri" w:eastAsia="Calibri" w:hAnsi="Calibri"/>
          <w:sz w:val="18"/>
          <w:szCs w:val="18"/>
        </w:rPr>
        <w:t xml:space="preserve">Qin, C., Zhu, H., Xu, T., Zhu, C., Jiang, L., Chen, E., &amp; Xiong, H. (2018). Enhancing Person-Job Fit for Talent Recruitment: An Ability-aware Neural Network Approach. SIGIR 2018, 25–34.</w:t>
      </w:r>
    </w:p>
    <w:p>
      <w:pPr>
        <w:spacing w:after="80" w:line="252"/>
        <w:ind w:left="504" w:hanging="504"/>
      </w:pPr>
      <w:r>
        <w:rPr>
          <w:rFonts w:ascii="Calibri" w:cs="Calibri" w:eastAsia="Calibri" w:hAnsi="Calibri"/>
          <w:sz w:val="18"/>
          <w:szCs w:val="18"/>
        </w:rPr>
        <w:t xml:space="preserve">Reimers, N., &amp; Gurevych, I. (2019). Sentence-BERT: Sentence Embeddings using Siamese BERT-Networks. EMNLP-IJCNLP 2019, 3982–3992.</w:t>
      </w:r>
    </w:p>
    <w:p>
      <w:pPr>
        <w:spacing w:after="80" w:line="252"/>
        <w:ind w:left="504" w:hanging="504"/>
      </w:pPr>
      <w:r>
        <w:rPr>
          <w:rFonts w:ascii="Calibri" w:cs="Calibri" w:eastAsia="Calibri" w:hAnsi="Calibri"/>
          <w:sz w:val="18"/>
          <w:szCs w:val="18"/>
        </w:rPr>
        <w:t xml:space="preserve">Sun, Z., Deng, Z.-H., Nie, J.-Y., &amp; Tang, J. (2019). RotatE: Knowledge Graph Embedding by Relational Rotation in Complex Space. ICLR 2019.</w:t>
      </w:r>
    </w:p>
    <w:p>
      <w:pPr>
        <w:spacing w:after="80" w:line="252"/>
        <w:ind w:left="504" w:hanging="504"/>
      </w:pPr>
      <w:r>
        <w:rPr>
          <w:rFonts w:ascii="Calibri" w:cs="Calibri" w:eastAsia="Calibri" w:hAnsi="Calibri"/>
          <w:sz w:val="18"/>
          <w:szCs w:val="18"/>
        </w:rPr>
        <w:t xml:space="preserve">The Business Research Company (2026). Resume Builder Global Market Report.</w:t>
      </w:r>
    </w:p>
    <w:p>
      <w:pPr>
        <w:spacing w:after="80" w:line="252"/>
        <w:ind w:left="504" w:hanging="504"/>
      </w:pPr>
      <w:r>
        <w:rPr>
          <w:rFonts w:ascii="Calibri" w:cs="Calibri" w:eastAsia="Calibri" w:hAnsi="Calibri"/>
          <w:sz w:val="18"/>
          <w:szCs w:val="18"/>
        </w:rPr>
        <w:t xml:space="preserve">Trouillon, T., Welbl, J., Riedel, S., Gaussier, É., &amp; Bouchard, G. (2016). Complex Embeddings for Simple Link Prediction. ICML 2016, PMLR 48, 2071–2080.</w:t>
      </w:r>
    </w:p>
    <w:p>
      <w:pPr>
        <w:spacing w:after="80" w:line="252"/>
        <w:ind w:left="504" w:hanging="504"/>
      </w:pPr>
      <w:r>
        <w:rPr>
          <w:rFonts w:ascii="Calibri" w:cs="Calibri" w:eastAsia="Calibri" w:hAnsi="Calibri"/>
          <w:sz w:val="18"/>
          <w:szCs w:val="18"/>
        </w:rPr>
        <w:t xml:space="preserve">Yao, K., Zhang, J., Qin, C., Wang, P., Zhu, H., &amp; Xiong, H. (2022). Knowledge Enhanced Person-Job Fit for Talent Recruitment. ICDE 2022, 3467–3480.</w:t>
      </w:r>
    </w:p>
    <w:p>
      <w:pPr>
        <w:spacing w:after="80" w:line="252"/>
        <w:ind w:left="504" w:hanging="504"/>
      </w:pPr>
      <w:r>
        <w:rPr>
          <w:rFonts w:ascii="Calibri" w:cs="Calibri" w:eastAsia="Calibri" w:hAnsi="Calibri"/>
          <w:sz w:val="18"/>
          <w:szCs w:val="18"/>
        </w:rPr>
        <w:t xml:space="preserve">Yao, S., Zhao, J., Yu, D., Du, N., Shafran, I., Narasimhan, K., &amp; Cao, Y. (2023). ReAct: Synergizing Reasoning and Acting in Language Models. ICLR 2023.</w:t>
      </w:r>
    </w:p>
    <w:p>
      <w:pPr>
        <w:spacing w:after="80" w:line="252"/>
        <w:ind w:left="504" w:hanging="504"/>
      </w:pPr>
      <w:r>
        <w:rPr>
          <w:rFonts w:ascii="Calibri" w:cs="Calibri" w:eastAsia="Calibri" w:hAnsi="Calibri"/>
          <w:sz w:val="18"/>
          <w:szCs w:val="18"/>
        </w:rPr>
        <w:t xml:space="preserve">Zhang, M., Jensen, K. N., Sonniks, S., &amp; Plank, B. (2022). SkillSpan: Hard and Soft Skill Extraction from English Job Postings. NAACL-HLT 2022, 4962–4984.</w:t>
      </w:r>
    </w:p>
    <w:p>
      <w:pPr>
        <w:spacing w:after="80" w:line="252"/>
        <w:ind w:left="504" w:hanging="504"/>
      </w:pPr>
      <w:r>
        <w:rPr>
          <w:rFonts w:ascii="Calibri" w:cs="Calibri" w:eastAsia="Calibri" w:hAnsi="Calibri"/>
          <w:sz w:val="18"/>
          <w:szCs w:val="18"/>
        </w:rPr>
        <w:t xml:space="preserve">Zhang, Y., &amp; Chen, X. (2020). Explainable Recommendation: A Survey and New Perspectives. Foundations and Trends in Information Retrieval, 14(1), 1–101.</w:t>
      </w:r>
    </w:p>
    <w:p>
      <w:pPr>
        <w:spacing w:after="80" w:line="252"/>
        <w:ind w:left="504" w:hanging="504"/>
      </w:pPr>
      <w:r>
        <w:rPr>
          <w:rFonts w:ascii="Calibri" w:cs="Calibri" w:eastAsia="Calibri" w:hAnsi="Calibri"/>
          <w:sz w:val="18"/>
          <w:szCs w:val="18"/>
        </w:rPr>
        <w:t xml:space="preserve">Zhu, C., Zhu, H., Xiong, H., Ma, C., Xie, F., Ding, P., &amp; Li, P. (2018). Person-Job Fit: Adapting the Right Talent for the Right Job with Joint Representation Learning. ACM TMIS, 9(3), Article 12.</w:t>
      </w:r>
    </w:p>
    <w:p>
      <w:pPr>
        <w:spacing w:after="80" w:line="252"/>
        <w:ind w:left="504" w:hanging="504"/>
      </w:pPr>
      <w:r>
        <w:rPr>
          <w:rFonts w:ascii="Calibri" w:cs="Calibri" w:eastAsia="Calibri" w:hAnsi="Calibri"/>
          <w:sz w:val="18"/>
          <w:szCs w:val="18"/>
        </w:rPr>
        <w:t xml:space="preserve">Joint Autonomous Universities Graduate Employment Survey 2025 (published 2026). Data: https://data.gov.sg/dataset/graduate-employment-survey-ntu-nus-sit-smu-suss-sutd</w:t>
      </w:r>
    </w:p>
    <w:p>
      <w:r>
        <w:br w:type="page"/>
      </w:r>
    </w:p>
    <w:p>
      <w:pPr>
        <w:pStyle w:val="Heading1"/>
        <w:spacing w:after="140" w:before="360"/>
      </w:pPr>
      <w:r>
        <w:rPr>
          <w:rFonts w:ascii="Calibri" w:cs="Calibri" w:eastAsia="Calibri" w:hAnsi="Calibri"/>
          <w:b/>
          <w:bCs/>
          <w:color w:val="1F3864"/>
          <w:sz w:val="30"/>
          <w:szCs w:val="30"/>
        </w:rPr>
        <w:t xml:space="preserve">5. Project Scope</w:t>
      </w:r>
    </w:p>
    <w:p>
      <w:pPr>
        <w:pStyle w:val="Heading2"/>
        <w:spacing w:after="140" w:before="240"/>
      </w:pPr>
      <w:r>
        <w:rPr>
          <w:rFonts w:ascii="Calibri" w:cs="Calibri" w:eastAsia="Calibri" w:hAnsi="Calibri"/>
          <w:b/>
          <w:bCs/>
          <w:color w:val="1F3864"/>
          <w:sz w:val="25"/>
          <w:szCs w:val="25"/>
        </w:rPr>
        <w:t xml:space="preserve">5.1 In Scope</w:t>
      </w:r>
    </w:p>
    <w:p>
      <w:pPr>
        <w:spacing w:after="120" w:line="276"/>
      </w:pPr>
      <w:r>
        <w:rPr>
          <w:rFonts w:ascii="Calibri" w:cs="Calibri" w:eastAsia="Calibri" w:hAnsi="Calibri"/>
          <w:sz w:val="21"/>
          <w:szCs w:val="21"/>
        </w:rPr>
        <w:t xml:space="preserve">The system targets seven IT career directions: Software Engineering, Backend Development, Frontend Development, Data Analytics and Data Science, Artificial Intelligence and Machine Learning, Cloud and DevOps, and Cybersecurity. These were selected because they account for the substantial majority of graduate and internship openings in the Singapore technology market and because they are sufficiently distinct in skill profile to make the matching problem non-trivial.</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Module</w:t>
            </w:r>
          </w:p>
        </w:tc>
        <w:tc>
          <w:tcPr>
            <w:tcW w:type="dxa" w:w="45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Function</w:t>
            </w:r>
          </w:p>
        </w:tc>
        <w:tc>
          <w:tcPr>
            <w:tcW w:type="dxa" w:w="23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Technique Group</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Job Ingestion</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Collect and deduplicate postings from configured sources</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 Parser</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Extract structured profile with evidence spans</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JD Analyser</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Extract responsibilities, skills, requirements, constraints</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Skill Knowledge Graph</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ESCO-derived graph with embedding-based completion</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Eligibility Rule Engine</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Hard-constraint admission decisions with cited reasons</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Hybrid Ranking Engine</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Decomposable four-term scoring and ranking</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③</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Explanation Assembler</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Construct structured explanation objects</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①③④</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 Rewriter</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Grounded bullet rewriting with factual verification</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①④</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Interview Prep Retriever</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RAG over question banks and interview reports</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③④</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Application Plan Optimiser</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GA over time-budgeted application scheduling</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②</w:t>
            </w:r>
          </w:p>
        </w:tc>
      </w:tr>
      <w:tr>
        <w:tc>
          <w:tcPr>
            <w:tcW w:type="dxa" w:w="25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Agent Orchestrator</w:t>
            </w:r>
          </w:p>
        </w:tc>
        <w:tc>
          <w:tcPr>
            <w:tcW w:type="dxa" w:w="4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ReAct-style multi-step task coordination</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User Interface</w:t>
            </w:r>
          </w:p>
        </w:tc>
        <w:tc>
          <w:tcPr>
            <w:tcW w:type="dxa" w:w="4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Streamlit application exposing all of the above</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bl>
    <w:p>
      <w:pPr>
        <w:pStyle w:val="Heading2"/>
        <w:spacing w:after="140" w:before="240"/>
      </w:pPr>
      <w:r>
        <w:rPr>
          <w:rFonts w:ascii="Calibri" w:cs="Calibri" w:eastAsia="Calibri" w:hAnsi="Calibri"/>
          <w:b/>
          <w:bCs/>
          <w:color w:val="1F3864"/>
          <w:sz w:val="25"/>
          <w:szCs w:val="25"/>
        </w:rPr>
        <w:t xml:space="preserve">5.2 Out of Scope</w:t>
      </w:r>
    </w:p>
    <w:p>
      <w:pPr>
        <w:spacing w:after="120" w:line="276"/>
      </w:pPr>
      <w:r>
        <w:rPr>
          <w:rFonts w:ascii="Calibri" w:cs="Calibri" w:eastAsia="Calibri" w:hAnsi="Calibri"/>
          <w:sz w:val="21"/>
          <w:szCs w:val="21"/>
        </w:rPr>
        <w:t xml:space="preserve">Scope exclusions are stated with their reasons, because several of them are design positions rather than concessions.</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Excluded</w:t>
            </w:r>
          </w:p>
        </w:tc>
        <w:tc>
          <w:tcPr>
            <w:tcW w:type="dxa" w:w="67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Reason</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Automated submission of applications</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Prohibited by the terms of service of major platforms (Section 4.2.2), and irreversible actions should not be delegated to automation without human review. The system produces a complete application package and the student submits it. This preserves the full substantive benefit while remaining compliant.</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Guaranteeing interviews or offers</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system is decision support. Outcome depends on factors outside its control.</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Generating experience the student does not have</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 hard design constraint enforced by the factual consistency checker and measured under goal G3. The system improves how true experience is expressed; it does not invent.</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Non-IT sectors and mid-career or executive roles</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Skill ontology and requirement structure differ substantially. Within a ten man-day per person budget, breadth would be bought at the cost of depth.</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Chinese-language résumés and job descriptions</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first release is English-only. Listed as future work.</w:t>
            </w:r>
          </w:p>
        </w:tc>
      </w:tr>
      <w:tr>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Closed-loop learning from real application outcomes</w:t>
            </w:r>
          </w:p>
        </w:tc>
        <w:tc>
          <w:tcPr>
            <w:tcW w:type="dxa" w:w="6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 outcome labels are available at project start. Addressed by the proxy labelling strategy described in Section 7.6.</w:t>
            </w:r>
          </w:p>
        </w:tc>
      </w:tr>
      <w:tr>
        <w:tc>
          <w:tcPr>
            <w:tcW w:type="dxa" w:w="26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Large-scale scraping of commercial job boards</w:t>
            </w:r>
          </w:p>
        </w:tc>
        <w:tc>
          <w:tcPr>
            <w:tcW w:type="dxa" w:w="67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Prohibited by the terms cited in Section 4.2.2. Ingestion relies on open datasets and a small, rate-limited, robots.txt-respecting crawl of company career pages for demonstration of multi-source integration.</w:t>
            </w:r>
          </w:p>
        </w:tc>
      </w:tr>
    </w:tbl>
    <w:p>
      <w:pPr>
        <w:pStyle w:val="Heading2"/>
        <w:spacing w:after="140" w:before="240"/>
      </w:pPr>
      <w:r>
        <w:rPr>
          <w:rFonts w:ascii="Calibri" w:cs="Calibri" w:eastAsia="Calibri" w:hAnsi="Calibri"/>
          <w:b/>
          <w:bCs/>
          <w:color w:val="1F3864"/>
          <w:sz w:val="25"/>
          <w:szCs w:val="25"/>
        </w:rPr>
        <w:t xml:space="preserve">5.3 Constraints and Assumptions</w:t>
      </w:r>
    </w:p>
    <w:p>
      <w:pPr>
        <w:pStyle w:val="ListParagraph"/>
        <w:numPr>
          <w:ilvl w:val="0"/>
          <w:numId w:val="2"/>
        </w:numPr>
        <w:spacing w:after="70" w:line="276"/>
      </w:pPr>
      <w:r>
        <w:rPr>
          <w:rFonts w:ascii="Calibri" w:cs="Calibri" w:eastAsia="Calibri" w:hAnsi="Calibri"/>
          <w:sz w:val="21"/>
          <w:szCs w:val="21"/>
        </w:rPr>
        <w:t xml:space="preserve">Effort budget of approximately ten man-days per team member, which is the binding constraint on scope.</w:t>
      </w:r>
    </w:p>
    <w:p>
      <w:pPr>
        <w:pStyle w:val="ListParagraph"/>
        <w:numPr>
          <w:ilvl w:val="0"/>
          <w:numId w:val="2"/>
        </w:numPr>
        <w:spacing w:after="70" w:line="276"/>
      </w:pPr>
      <w:r>
        <w:rPr>
          <w:rFonts w:ascii="Calibri" w:cs="Calibri" w:eastAsia="Calibri" w:hAnsi="Calibri"/>
          <w:sz w:val="21"/>
          <w:szCs w:val="21"/>
        </w:rPr>
        <w:t xml:space="preserve">No ground-truth application outcome data; ranking quality is evaluated against human relevance judgements and proxy labels.</w:t>
      </w:r>
    </w:p>
    <w:p>
      <w:pPr>
        <w:pStyle w:val="ListParagraph"/>
        <w:numPr>
          <w:ilvl w:val="0"/>
          <w:numId w:val="2"/>
        </w:numPr>
        <w:spacing w:after="70" w:line="276"/>
      </w:pPr>
      <w:r>
        <w:rPr>
          <w:rFonts w:ascii="Calibri" w:cs="Calibri" w:eastAsia="Calibri" w:hAnsi="Calibri"/>
          <w:b/>
          <w:bCs/>
          <w:sz w:val="21"/>
          <w:szCs w:val="21"/>
        </w:rPr>
        <w:t xml:space="preserve">Job data access is the principal external risk. </w:t>
      </w:r>
      <w:r>
        <w:rPr>
          <w:rFonts w:ascii="Calibri" w:cs="Calibri" w:eastAsia="Calibri" w:hAnsi="Calibri"/>
          <w:sz w:val="21"/>
          <w:szCs w:val="21"/>
        </w:rPr>
        <w:t xml:space="preserve">Our investigation found that MyCareersFuture does not publish a documented public API; an undocumented JSON endpoint exists and is used by third-party tools, but has no published terms, authentication or service guarantee, and data.gov.sg publishes only aggregate labour statistics rather than live postings. The project therefore treats open datasets as the primary source and any live endpoint as a bonus, so that no deliverable depends on it.</w:t>
      </w:r>
    </w:p>
    <w:p>
      <w:pPr>
        <w:pStyle w:val="ListParagraph"/>
        <w:numPr>
          <w:ilvl w:val="0"/>
          <w:numId w:val="2"/>
        </w:numPr>
        <w:spacing w:after="70" w:line="276"/>
      </w:pPr>
      <w:r>
        <w:rPr>
          <w:rFonts w:ascii="Calibri" w:cs="Calibri" w:eastAsia="Calibri" w:hAnsi="Calibri"/>
          <w:sz w:val="21"/>
          <w:szCs w:val="21"/>
        </w:rPr>
        <w:t xml:space="preserve">Résumés contain personally identifiable information. All résumé data is pseudonymised locally before any external API call, and no résumé content is retained after a session ends.</w:t>
      </w:r>
    </w:p>
    <w:p>
      <w:pPr>
        <w:pStyle w:val="ListParagraph"/>
        <w:numPr>
          <w:ilvl w:val="0"/>
          <w:numId w:val="2"/>
        </w:numPr>
        <w:spacing w:after="70" w:line="276"/>
      </w:pPr>
      <w:r>
        <w:rPr>
          <w:rFonts w:ascii="Calibri" w:cs="Calibri" w:eastAsia="Calibri" w:hAnsi="Calibri"/>
          <w:sz w:val="21"/>
          <w:szCs w:val="21"/>
        </w:rPr>
        <w:t xml:space="preserve">LLM API costs are bounded by restricting model calls to extraction fallback, rewriting and orchestration, with deterministic components handling the high-volume paths.</w:t>
      </w:r>
    </w:p>
    <w:p>
      <w:r>
        <w:br w:type="page"/>
      </w:r>
    </w:p>
    <w:p>
      <w:pPr>
        <w:pStyle w:val="Heading1"/>
        <w:spacing w:after="140" w:before="360"/>
      </w:pPr>
      <w:r>
        <w:rPr>
          <w:rFonts w:ascii="Calibri" w:cs="Calibri" w:eastAsia="Calibri" w:hAnsi="Calibri"/>
          <w:b/>
          <w:bCs/>
          <w:color w:val="1F3864"/>
          <w:sz w:val="30"/>
          <w:szCs w:val="30"/>
        </w:rPr>
        <w:t xml:space="preserve">6. Data Collection and Preparation</w:t>
      </w:r>
    </w:p>
    <w:p>
      <w:pPr>
        <w:spacing w:after="120" w:line="276"/>
      </w:pPr>
      <w:r>
        <w:rPr>
          <w:rFonts w:ascii="Calibri" w:cs="Calibri" w:eastAsia="Calibri" w:hAnsi="Calibri"/>
          <w:sz w:val="21"/>
          <w:szCs w:val="21"/>
        </w:rPr>
        <w:t xml:space="preserve">This section is summarised here and will be expanded in the final report.</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rPr>
          <w:tblHeader/>
        </w:trPr>
        <w:tc>
          <w:tcPr>
            <w:tcW w:type="dxa" w:w="18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Dataset</w:t>
            </w:r>
          </w:p>
        </w:tc>
        <w:tc>
          <w:tcPr>
            <w:tcW w:type="dxa" w:w="35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Source</w:t>
            </w:r>
          </w:p>
        </w:tc>
        <w:tc>
          <w:tcPr>
            <w:tcW w:type="dxa" w:w="18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Target Volume</w:t>
            </w:r>
          </w:p>
        </w:tc>
        <w:tc>
          <w:tcPr>
            <w:tcW w:type="dxa" w:w="22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Role</w:t>
            </w:r>
          </w:p>
        </w:tc>
      </w:tr>
      <w:tr>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Job descriptions</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 job-posting datasets (Kaggle); rate-limited crawl of up to 20 company career pages</w:t>
            </w:r>
          </w:p>
        </w:tc>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3,000 IT postings after filtering</w:t>
            </w:r>
          </w:p>
        </w:tc>
        <w:tc>
          <w:tcPr>
            <w:tcW w:type="dxa" w:w="22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Primary corpus</w:t>
            </w:r>
          </w:p>
        </w:tc>
      </w:tr>
      <w:tr>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Skill ontology</w:t>
            </w:r>
          </w:p>
        </w:tc>
        <w:tc>
          <w:tcPr>
            <w:tcW w:type="dxa" w:w="3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ESCO v1.2 (open licence); O*NET</w:t>
            </w:r>
          </w:p>
        </w:tc>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~2,000 IT-relevant skill nodes</w:t>
            </w:r>
          </w:p>
        </w:tc>
        <w:tc>
          <w:tcPr>
            <w:tcW w:type="dxa" w:w="22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Knowledge graph</w:t>
            </w:r>
          </w:p>
        </w:tc>
      </w:tr>
      <w:tr>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Résumés</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Pseudonymised team member résumés; public résumé dataset</w:t>
            </w:r>
          </w:p>
        </w:tc>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50–100</w:t>
            </w:r>
          </w:p>
        </w:tc>
        <w:tc>
          <w:tcPr>
            <w:tcW w:type="dxa" w:w="22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Testing and annotation</w:t>
            </w:r>
          </w:p>
        </w:tc>
      </w:tr>
      <w:tr>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Interview material</w:t>
            </w:r>
          </w:p>
        </w:tc>
        <w:tc>
          <w:tcPr>
            <w:tcW w:type="dxa" w:w="3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Public question banks and interview reports</w:t>
            </w:r>
          </w:p>
        </w:tc>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~1,000 chunks</w:t>
            </w:r>
          </w:p>
        </w:tc>
        <w:tc>
          <w:tcPr>
            <w:tcW w:type="dxa" w:w="22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RAG corpus</w:t>
            </w:r>
          </w:p>
        </w:tc>
      </w:tr>
      <w:tr>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Relevance judgements</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Team annotation</w:t>
            </w:r>
          </w:p>
        </w:tc>
        <w:tc>
          <w:tcPr>
            <w:tcW w:type="dxa" w:w="18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300 résumé–job pairs, 3-point scale</w:t>
            </w:r>
          </w:p>
        </w:tc>
        <w:tc>
          <w:tcPr>
            <w:tcW w:type="dxa" w:w="22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Evaluation and weight calibration</w:t>
            </w:r>
          </w:p>
        </w:tc>
      </w:tr>
    </w:tbl>
    <w:p>
      <w:pPr>
        <w:spacing w:after="160"/>
      </w:pPr>
      <w:r>
        <w:rPr>
          <w:sz w:val="8"/>
          <w:szCs w:val="8"/>
        </w:rPr>
        <w:t xml:space="preserve"/>
      </w:r>
    </w:p>
    <w:p>
      <w:pPr>
        <w:spacing w:after="120" w:line="276"/>
      </w:pPr>
      <w:r>
        <w:rPr>
          <w:rFonts w:ascii="Calibri" w:cs="Calibri" w:eastAsia="Calibri" w:hAnsi="Calibri"/>
          <w:sz w:val="21"/>
          <w:szCs w:val="21"/>
        </w:rPr>
        <w:t xml:space="preserve">Preparation steps: MinHash deduplication over title, company and body; language filtering; segmentation of the posting body into responsibilities, requirements, benefits and equal-opportunity boilerplate, with the latter two discarded before embedding — this step alone is expected to account for a meaningful part of the improvement over whole-document baselines; normalisation of experience requirements to integer ranges by rule; treatment of an absent requirement as an absence of constraint rather than as a disqualification; and local pseudonymisation of all résumé PII prior to any external call.</w:t>
      </w:r>
    </w:p>
    <w:p>
      <w:r>
        <w:br w:type="page"/>
      </w:r>
    </w:p>
    <w:p>
      <w:pPr>
        <w:pStyle w:val="Heading1"/>
        <w:spacing w:after="140" w:before="360"/>
      </w:pPr>
      <w:r>
        <w:rPr>
          <w:rFonts w:ascii="Calibri" w:cs="Calibri" w:eastAsia="Calibri" w:hAnsi="Calibri"/>
          <w:b/>
          <w:bCs/>
          <w:color w:val="1F3864"/>
          <w:sz w:val="30"/>
          <w:szCs w:val="30"/>
        </w:rPr>
        <w:t xml:space="preserve">7. System Design</w:t>
      </w:r>
    </w:p>
    <w:p>
      <w:pPr>
        <w:pStyle w:val="Heading2"/>
        <w:spacing w:after="140" w:before="240"/>
      </w:pPr>
      <w:r>
        <w:rPr>
          <w:rFonts w:ascii="Calibri" w:cs="Calibri" w:eastAsia="Calibri" w:hAnsi="Calibri"/>
          <w:b/>
          <w:bCs/>
          <w:color w:val="1F3864"/>
          <w:sz w:val="25"/>
          <w:szCs w:val="25"/>
        </w:rPr>
        <w:t xml:space="preserve">7.1 Architectural Overview</w:t>
      </w:r>
    </w:p>
    <w:p>
      <w:pPr>
        <w:spacing w:after="120" w:line="276"/>
      </w:pPr>
      <w:r>
        <w:rPr>
          <w:rFonts w:ascii="Calibri" w:cs="Calibri" w:eastAsia="Calibri" w:hAnsi="Calibri"/>
          <w:sz w:val="21"/>
          <w:szCs w:val="21"/>
        </w:rPr>
        <w:t xml:space="preserve">The architecture is a layered pipeline under agent orchestration. Data flows in one direction — ingestion, extraction, admission, scoring, generation, planning — with a single human decision point between ranking and generation. Every stage emits provenance records that the explanation assembler later consumes, which is what makes model-intrinsic explanation possible rather than post-hoc narration.</w:t>
      </w:r>
    </w:p>
    <w:p>
      <w:pPr>
        <w:spacing w:after="120" w:line="276"/>
      </w:pPr>
      <w:r>
        <w:rPr>
          <w:rFonts w:ascii="Calibri" w:cs="Calibri" w:eastAsia="Calibri" w:hAnsi="Calibri"/>
          <w:sz w:val="21"/>
          <w:szCs w:val="21"/>
        </w:rPr>
        <w:t xml:space="preserve">Three properties of the architecture are load-bearing and worth stating before the diagram. First, the rule engine sits before the scoring engine, not beside it, so that ineligible openings never reach scoring and the candidate set is reduced by roughly an order of magnitude before any embedding computation occurs. Second, the knowledge graph is consulted by both the scoring engine and the explanation assembler, so the same graph traversal that contributes to a score also supplies the evidence path shown to the user. Third, the generative components sit downstream of the human decision point, so no text is generated for openings the student has not selected — which bounds both cost and the surface area for fabrication.</w:t>
      </w:r>
    </w:p>
    <w:p>
      <w:pPr>
        <w:spacing w:after="60" w:before="160"/>
        <w:jc w:val="center"/>
      </w:pPr>
      <w:r>
        <w:drawing>
          <wp:inline distT="0" distB="0" distL="0" distR="0">
            <wp:extent cx="61531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53150" cy="4943475"/>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2. IT CareerPilot system architecture. Circled numerals denote the IRS technique group each component belongs to (see Section 8).</w:t>
      </w:r>
    </w:p>
    <w:p>
      <w:pPr>
        <w:pStyle w:val="Heading2"/>
        <w:spacing w:after="140" w:before="240"/>
      </w:pPr>
      <w:r>
        <w:rPr>
          <w:rFonts w:ascii="Calibri" w:cs="Calibri" w:eastAsia="Calibri" w:hAnsi="Calibri"/>
          <w:b/>
          <w:bCs/>
          <w:color w:val="1F3864"/>
          <w:sz w:val="25"/>
          <w:szCs w:val="25"/>
        </w:rPr>
        <w:t xml:space="preserve">7.2 Component Specification</w:t>
      </w:r>
    </w:p>
    <w:p>
      <w:pPr>
        <w:pStyle w:val="Heading3"/>
        <w:spacing w:after="140" w:before="240"/>
      </w:pPr>
      <w:r>
        <w:rPr>
          <w:rFonts w:ascii="Calibri" w:cs="Calibri" w:eastAsia="Calibri" w:hAnsi="Calibri"/>
          <w:b/>
          <w:bCs/>
          <w:color w:val="1F3864"/>
          <w:sz w:val="22"/>
          <w:szCs w:val="22"/>
        </w:rPr>
        <w:t xml:space="preserve">7.2.1 Ingestion and Extraction Layer</w:t>
      </w:r>
    </w:p>
    <w:p>
      <w:pPr>
        <w:spacing w:after="120" w:line="276"/>
      </w:pPr>
      <w:r>
        <w:rPr>
          <w:rFonts w:ascii="Calibri" w:cs="Calibri" w:eastAsia="Calibri" w:hAnsi="Calibri"/>
          <w:sz w:val="21"/>
          <w:szCs w:val="21"/>
        </w:rPr>
        <w:t xml:space="preserve">The ingestion service normalises heterogeneous sources into a common raw-posting record. The extraction layer then produces a structured profile using a shared schema for both résumés and job descriptions, which is what allows the scoring function to compare like with like:</w:t>
      </w:r>
    </w:p>
    <w:p>
      <w:pPr>
        <w:spacing w:after="120" w:line="276"/>
        <w:ind w:left="431"/>
      </w:pPr>
      <w:r>
        <w:rPr>
          <w:rFonts w:ascii="Calibri" w:cs="Calibri" w:eastAsia="Calibri" w:hAnsi="Calibri"/>
          <w:i/>
          <w:iCs/>
          <w:sz w:val="19"/>
          <w:szCs w:val="19"/>
        </w:rPr>
        <w:t xml:space="preserve">{ education, degree_level, years_of_experience, skills[], projects[], location, visa_requirement, seniority, employment_type, languages[], evidence_spans[] }</w:t>
      </w:r>
    </w:p>
    <w:p>
      <w:pPr>
        <w:spacing w:after="120" w:line="276"/>
      </w:pPr>
      <w:r>
        <w:rPr>
          <w:rFonts w:ascii="Calibri" w:cs="Calibri" w:eastAsia="Calibri" w:hAnsi="Calibri"/>
          <w:sz w:val="21"/>
          <w:szCs w:val="21"/>
        </w:rPr>
        <w:t xml:space="preserve">Extraction runs two paths whose union is taken. The primary path is spaCy named-entity recognition combined with dictionary matching against the ESCO skill list and its alias set; this path is high-precision, deterministic, and — critically — returns the character span in the source document where each skill was found, which becomes the evidence in the explanation. The secondary path uses few-shot LLM extraction to catch long-tail phrasing that dictionary matching misses, such as inferring Docker and Kubernetes from "familiar with cloud-native tooling". Extraction quality is measured directly rather than assumed.</w:t>
      </w:r>
    </w:p>
    <w:p>
      <w:pPr>
        <w:pStyle w:val="Heading3"/>
        <w:spacing w:after="140" w:before="240"/>
      </w:pPr>
      <w:r>
        <w:rPr>
          <w:rFonts w:ascii="Calibri" w:cs="Calibri" w:eastAsia="Calibri" w:hAnsi="Calibri"/>
          <w:b/>
          <w:bCs/>
          <w:color w:val="1F3864"/>
          <w:sz w:val="22"/>
          <w:szCs w:val="22"/>
        </w:rPr>
        <w:t xml:space="preserve">7.2.2 Skill Knowledge Graph</w:t>
      </w:r>
    </w:p>
    <w:p>
      <w:pPr>
        <w:spacing w:after="120" w:line="276"/>
      </w:pPr>
      <w:r>
        <w:rPr>
          <w:rFonts w:ascii="Calibri" w:cs="Calibri" w:eastAsia="Calibri" w:hAnsi="Calibri"/>
          <w:sz w:val="21"/>
          <w:szCs w:val="21"/>
        </w:rPr>
        <w:t xml:space="preserve">ESCO concepts are loaded into Neo4j under three relation types: IS_A linking a skill to its group, SIMILAR_TO linking substitutable skills, and REQUIRES linking an occupation to a skill. Because ESCO terminology and job-posting terminology diverge, the graph is completed by training knowledge graph embeddings with PyKEEN and adding high-confidence predicted edges; TransE, ComplEx and RotatE will be compared on held-out link prediction and the best selected.</w:t>
      </w:r>
    </w:p>
    <w:p>
      <w:pPr>
        <w:spacing w:after="120" w:line="276"/>
      </w:pPr>
      <w:r>
        <w:rPr>
          <w:rFonts w:ascii="Calibri" w:cs="Calibri" w:eastAsia="Calibri" w:hAnsi="Calibri"/>
          <w:sz w:val="21"/>
          <w:szCs w:val="21"/>
        </w:rPr>
        <w:t xml:space="preserve">The graph answers a question that embeddings alone cannot: given a required skill the student lacks, is there a short path from something they do have? A one-hop SIMILAR_TO path or a shared IS_A parent marks the gap as transferable. No path within the traversal limit marks it as hard. This single distinction drives both the scoring penalty and the advice shown to the student.</w:t>
      </w:r>
    </w:p>
    <w:p>
      <w:pPr>
        <w:pStyle w:val="Heading3"/>
        <w:spacing w:after="140" w:before="240"/>
      </w:pPr>
      <w:r>
        <w:rPr>
          <w:rFonts w:ascii="Calibri" w:cs="Calibri" w:eastAsia="Calibri" w:hAnsi="Calibri"/>
          <w:b/>
          <w:bCs/>
          <w:color w:val="1F3864"/>
          <w:sz w:val="22"/>
          <w:szCs w:val="22"/>
        </w:rPr>
        <w:t xml:space="preserve">7.2.3 Eligibility Rule Engine</w:t>
      </w:r>
    </w:p>
    <w:p>
      <w:pPr>
        <w:spacing w:after="120" w:line="276"/>
      </w:pPr>
      <w:r>
        <w:rPr>
          <w:rFonts w:ascii="Calibri" w:cs="Calibri" w:eastAsia="Calibri" w:hAnsi="Calibri"/>
          <w:sz w:val="21"/>
          <w:szCs w:val="21"/>
        </w:rPr>
        <w:t xml:space="preserve">Forward-chaining production rules evaluate hard constraints. Each rule returns a verdict and a machine-readable reason code, and the set of fired rules is retained for the explanation. Representative rules:</w:t>
      </w:r>
    </w:p>
    <w:p>
      <w:pPr>
        <w:spacing w:after="40"/>
        <w:ind w:left="431"/>
      </w:pPr>
      <w:r>
        <w:rPr>
          <w:rFonts w:ascii="Consolas" w:cs="Consolas" w:eastAsia="Consolas" w:hAnsi="Consolas"/>
          <w:sz w:val="17"/>
          <w:szCs w:val="17"/>
        </w:rPr>
        <w:t xml:space="preserve">IF jd.min_experience &gt; profile.experience_years + 2         → REJECT   (reason: experience_gap)</w:t>
      </w:r>
    </w:p>
    <w:p>
      <w:pPr>
        <w:spacing w:after="40"/>
        <w:ind w:left="431"/>
      </w:pPr>
      <w:r>
        <w:rPr>
          <w:rFonts w:ascii="Consolas" w:cs="Consolas" w:eastAsia="Consolas" w:hAnsi="Consolas"/>
          <w:sz w:val="17"/>
          <w:szCs w:val="17"/>
        </w:rPr>
        <w:t xml:space="preserve">IF jd.visa_sponsorship = false AND profile.needs_pass = true → REJECT   (reason: work_pass_ineligible)</w:t>
      </w:r>
    </w:p>
    <w:p>
      <w:pPr>
        <w:spacing w:after="40"/>
        <w:ind w:left="431"/>
      </w:pPr>
      <w:r>
        <w:rPr>
          <w:rFonts w:ascii="Consolas" w:cs="Consolas" w:eastAsia="Consolas" w:hAnsi="Consolas"/>
          <w:sz w:val="17"/>
          <w:szCs w:val="17"/>
        </w:rPr>
        <w:t xml:space="preserve">IF jd.degree_required &gt; profile.degree_level                 → REJECT   (reason: degree_below_minimum)</w:t>
      </w:r>
    </w:p>
    <w:p>
      <w:pPr>
        <w:spacing w:after="40"/>
        <w:ind w:left="431"/>
      </w:pPr>
      <w:r>
        <w:rPr>
          <w:rFonts w:ascii="Consolas" w:cs="Consolas" w:eastAsia="Consolas" w:hAnsi="Consolas"/>
          <w:sz w:val="17"/>
          <w:szCs w:val="17"/>
        </w:rPr>
        <w:t xml:space="preserve">IF jd.location NOT IN profile.preferred_locations            → DEMOTE   (reason: location_mismatch)</w:t>
      </w:r>
    </w:p>
    <w:p>
      <w:pPr>
        <w:spacing w:after="40"/>
        <w:ind w:left="431"/>
      </w:pPr>
      <w:r>
        <w:rPr>
          <w:rFonts w:ascii="Consolas" w:cs="Consolas" w:eastAsia="Consolas" w:hAnsi="Consolas"/>
          <w:sz w:val="17"/>
          <w:szCs w:val="17"/>
        </w:rPr>
        <w:t xml:space="preserve">IF jd.closing_date &lt; today                                   → REJECT   (reason: closed)</w:t>
      </w:r>
    </w:p>
    <w:p>
      <w:pPr>
        <w:spacing w:after="40"/>
        <w:ind w:left="431"/>
      </w:pPr>
      <w:r>
        <w:rPr>
          <w:rFonts w:ascii="Consolas" w:cs="Consolas" w:eastAsia="Consolas" w:hAnsi="Consolas"/>
          <w:sz w:val="17"/>
          <w:szCs w:val="17"/>
        </w:rPr>
        <w:t xml:space="preserve">IF jd.degree_required IS NULL                                → NO_CONSTRAINT</w:t>
      </w:r>
    </w:p>
    <w:p>
      <w:pPr>
        <w:spacing w:after="120" w:line="276"/>
      </w:pPr>
      <w:r>
        <w:rPr>
          <w:rFonts w:ascii="Calibri" w:cs="Calibri" w:eastAsia="Calibri" w:hAnsi="Calibri"/>
          <w:sz w:val="21"/>
          <w:szCs w:val="21"/>
        </w:rPr>
        <w:t xml:space="preserve">Conflict resolution follows priority ordering with longest-match as a tie-break, in line with standard production-system practice. The three-valued verdict matters: DEMOTE preserves an opening that violates a soft preference rather than discarding it, so a student who has stated a location preference still sees a strong out-of-preference role, ranked lower and labelled with the reason.</w:t>
      </w:r>
    </w:p>
    <w:p>
      <w:pPr>
        <w:pStyle w:val="Heading3"/>
        <w:spacing w:after="140" w:before="240"/>
      </w:pPr>
      <w:r>
        <w:rPr>
          <w:rFonts w:ascii="Calibri" w:cs="Calibri" w:eastAsia="Calibri" w:hAnsi="Calibri"/>
          <w:b/>
          <w:bCs/>
          <w:color w:val="1F3864"/>
          <w:sz w:val="22"/>
          <w:szCs w:val="22"/>
        </w:rPr>
        <w:t xml:space="preserve">7.2.4 Hybrid Ranking Engine</w:t>
      </w:r>
    </w:p>
    <w:p>
      <w:pPr>
        <w:spacing w:after="120" w:line="276"/>
      </w:pPr>
      <w:r>
        <w:rPr>
          <w:rFonts w:ascii="Calibri" w:cs="Calibri" w:eastAsia="Calibri" w:hAnsi="Calibri"/>
          <w:sz w:val="21"/>
          <w:szCs w:val="21"/>
        </w:rPr>
        <w:t xml:space="preserve">Surviving openings are scored by a decomposable linear combination of four terms:</w:t>
      </w:r>
    </w:p>
    <w:p>
      <w:pPr>
        <w:spacing w:after="100" w:before="100"/>
        <w:jc w:val="center"/>
      </w:pPr>
      <w:r>
        <w:rPr>
          <w:rFonts w:ascii="Calibri" w:cs="Calibri" w:eastAsia="Calibri" w:hAnsi="Calibri"/>
          <w:b/>
          <w:bCs/>
          <w:sz w:val="22"/>
          <w:szCs w:val="22"/>
        </w:rPr>
        <w:t xml:space="preserve">S(r, j) = w₁·sem(r, j) + w₂·cov(r, j) + w₃·exp(r, j) − w₄·gap(r,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Term</w:t>
            </w:r>
          </w:p>
        </w:tc>
        <w:tc>
          <w:tcPr>
            <w:tcW w:type="dxa" w:w="44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Definition</w:t>
            </w:r>
          </w:p>
        </w:tc>
        <w:tc>
          <w:tcPr>
            <w:tcW w:type="dxa" w:w="406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Why it is separate</w:t>
            </w:r>
          </w:p>
        </w:tc>
      </w:tr>
      <w:tr>
        <w:tc>
          <w:tcPr>
            <w:tcW w:type="dxa" w:w="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sem</w:t>
            </w:r>
          </w:p>
        </w:tc>
        <w:tc>
          <w:tcPr>
            <w:tcW w:type="dxa" w:w="4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Cosine similarity between Sentence-BERT embeddings of the student's project and experience text and the responsibilities segment of the posting</w:t>
            </w:r>
          </w:p>
        </w:tc>
        <w:tc>
          <w:tcPr>
            <w:tcW w:type="dxa" w:w="40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Captures relevance that lexical matching misses ("built a REST API in Flask" against "backend service development")</w:t>
            </w:r>
          </w:p>
        </w:tc>
      </w:tr>
      <w:tr>
        <w:tc>
          <w:tcPr>
            <w:tcW w:type="dxa" w:w="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cov</w:t>
            </w:r>
          </w:p>
        </w:tc>
        <w:tc>
          <w:tcPr>
            <w:tcW w:type="dxa" w:w="4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Proportion of required skills covered, where coverage is credited fully for an exact match and partially for a knowledge-graph-adjacent match</w:t>
            </w:r>
          </w:p>
        </w:tc>
        <w:tc>
          <w:tcPr>
            <w:tcW w:type="dxa" w:w="40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Distinguishes a candidate who has the skills from one whose prose merely reads similarly</w:t>
            </w:r>
          </w:p>
        </w:tc>
      </w:tr>
      <w:tr>
        <w:tc>
          <w:tcPr>
            <w:tcW w:type="dxa" w:w="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exp</w:t>
            </w:r>
          </w:p>
        </w:tc>
        <w:tc>
          <w:tcPr>
            <w:tcW w:type="dxa" w:w="4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Fit between the student's experience level and the stated requirement, penalising both under- and over-qualification</w:t>
            </w:r>
          </w:p>
        </w:tc>
        <w:tc>
          <w:tcPr>
            <w:tcW w:type="dxa" w:w="40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Prevents strong candidates being ranked into roles they are overqualified for and would not accept</w:t>
            </w:r>
          </w:p>
        </w:tc>
      </w:tr>
      <w:tr>
        <w:tc>
          <w:tcPr>
            <w:tcW w:type="dxa" w:w="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gap</w:t>
            </w:r>
          </w:p>
        </w:tc>
        <w:tc>
          <w:tcPr>
            <w:tcW w:type="dxa" w:w="4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Penalty proportional to the number of hard (non-transferable) missing skills, weighted by whether the posting marks them as required or preferred</w:t>
            </w:r>
          </w:p>
        </w:tc>
        <w:tc>
          <w:tcPr>
            <w:tcW w:type="dxa" w:w="40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Separates the two kinds of gap, which is the distinction the entire system is built around</w:t>
            </w:r>
          </w:p>
        </w:tc>
      </w:tr>
    </w:tbl>
    <w:p>
      <w:pPr>
        <w:spacing w:after="120" w:line="276"/>
      </w:pPr>
      <w:r>
        <w:rPr>
          <w:rFonts w:ascii="Calibri" w:cs="Calibri" w:eastAsia="Calibri" w:hAnsi="Calibri"/>
          <w:sz w:val="21"/>
          <w:szCs w:val="21"/>
        </w:rPr>
        <w:t xml:space="preserve">The weights are calibrated by grid search against annotated relevance judgements, not chosen by intuition, and the per-term contribution of each is reported by ablation. Because the score is a sum of interpretable terms, its decomposition is directly displayable: the interface can state that a role scored 0.72 of which 0.31 came from semantic relevance, 0.28 from skill coverage, 0.19 from experience fit, less 0.06 for two hard gaps.</w:t>
      </w:r>
    </w:p>
    <w:p>
      <w:pPr>
        <w:pStyle w:val="Heading3"/>
        <w:spacing w:after="140" w:before="240"/>
      </w:pPr>
      <w:r>
        <w:rPr>
          <w:rFonts w:ascii="Calibri" w:cs="Calibri" w:eastAsia="Calibri" w:hAnsi="Calibri"/>
          <w:b/>
          <w:bCs/>
          <w:color w:val="1F3864"/>
          <w:sz w:val="22"/>
          <w:szCs w:val="22"/>
        </w:rPr>
        <w:t xml:space="preserve">7.2.5 Explanation Assembler</w:t>
      </w:r>
    </w:p>
    <w:p>
      <w:pPr>
        <w:spacing w:after="120" w:line="276"/>
      </w:pPr>
      <w:r>
        <w:rPr>
          <w:rFonts w:ascii="Calibri" w:cs="Calibri" w:eastAsia="Calibri" w:hAnsi="Calibri"/>
          <w:sz w:val="21"/>
          <w:szCs w:val="21"/>
        </w:rPr>
        <w:t xml:space="preserve">The explanation is a structured object, not prose, and it is assembled from artefacts the pipeline already produced:</w:t>
      </w:r>
    </w:p>
    <w:p>
      <w:pPr>
        <w:pStyle w:val="ListParagraph"/>
        <w:numPr>
          <w:ilvl w:val="0"/>
          <w:numId w:val="2"/>
        </w:numPr>
        <w:spacing w:after="70" w:line="276"/>
      </w:pPr>
      <w:r>
        <w:rPr>
          <w:rFonts w:ascii="Calibri" w:cs="Calibri" w:eastAsia="Calibri" w:hAnsi="Calibri"/>
          <w:sz w:val="21"/>
          <w:szCs w:val="21"/>
        </w:rPr>
        <w:t xml:space="preserve">The identifiers and human-readable reasons of every rule that fired during admission.</w:t>
      </w:r>
    </w:p>
    <w:p>
      <w:pPr>
        <w:pStyle w:val="ListParagraph"/>
        <w:numPr>
          <w:ilvl w:val="0"/>
          <w:numId w:val="2"/>
        </w:numPr>
        <w:spacing w:after="70" w:line="276"/>
      </w:pPr>
      <w:r>
        <w:rPr>
          <w:rFonts w:ascii="Calibri" w:cs="Calibri" w:eastAsia="Calibri" w:hAnsi="Calibri"/>
          <w:sz w:val="21"/>
          <w:szCs w:val="21"/>
        </w:rPr>
        <w:t xml:space="preserve">Each matched skill, paired with the character span in the résumé that evidences it and the span in the posting that requires it.</w:t>
      </w:r>
    </w:p>
    <w:p>
      <w:pPr>
        <w:pStyle w:val="ListParagraph"/>
        <w:numPr>
          <w:ilvl w:val="0"/>
          <w:numId w:val="2"/>
        </w:numPr>
        <w:spacing w:after="70" w:line="276"/>
      </w:pPr>
      <w:r>
        <w:rPr>
          <w:rFonts w:ascii="Calibri" w:cs="Calibri" w:eastAsia="Calibri" w:hAnsi="Calibri"/>
          <w:sz w:val="21"/>
          <w:szCs w:val="21"/>
        </w:rPr>
        <w:t xml:space="preserve">Each missing skill, classified as transferable or hard, and for transferable gaps the knowledge-graph path that justifies the classification.</w:t>
      </w:r>
    </w:p>
    <w:p>
      <w:pPr>
        <w:pStyle w:val="ListParagraph"/>
        <w:numPr>
          <w:ilvl w:val="0"/>
          <w:numId w:val="2"/>
        </w:numPr>
        <w:spacing w:after="70" w:line="276"/>
      </w:pPr>
      <w:r>
        <w:rPr>
          <w:rFonts w:ascii="Calibri" w:cs="Calibri" w:eastAsia="Calibri" w:hAnsi="Calibri"/>
          <w:sz w:val="21"/>
          <w:szCs w:val="21"/>
        </w:rPr>
        <w:t xml:space="preserve">The numeric decomposition of the score into its four terms.</w:t>
      </w:r>
    </w:p>
    <w:p>
      <w:pPr>
        <w:spacing w:after="120" w:line="276"/>
      </w:pPr>
      <w:r>
        <w:rPr>
          <w:rFonts w:ascii="Calibri" w:cs="Calibri" w:eastAsia="Calibri" w:hAnsi="Calibri"/>
          <w:sz w:val="21"/>
          <w:szCs w:val="21"/>
        </w:rPr>
        <w:t xml:space="preserve">A language model renders this object into readable English for display, but it is not permitted to add any claim that is not present in the object. The distinction matters: the reasoning is auditable independently of the prose, and if the prose were removed entirely the explanation would still be complete.</w:t>
      </w:r>
    </w:p>
    <w:p>
      <w:pPr>
        <w:pStyle w:val="Heading3"/>
        <w:spacing w:after="140" w:before="240"/>
      </w:pPr>
      <w:r>
        <w:rPr>
          <w:rFonts w:ascii="Calibri" w:cs="Calibri" w:eastAsia="Calibri" w:hAnsi="Calibri"/>
          <w:b/>
          <w:bCs/>
          <w:color w:val="1F3864"/>
          <w:sz w:val="22"/>
          <w:szCs w:val="22"/>
        </w:rPr>
        <w:t xml:space="preserve">7.2.6 Résumé Rewriting with Factual Constraints</w:t>
      </w:r>
    </w:p>
    <w:p>
      <w:pPr>
        <w:spacing w:after="120" w:line="276"/>
      </w:pPr>
      <w:r>
        <w:rPr>
          <w:rFonts w:ascii="Calibri" w:cs="Calibri" w:eastAsia="Calibri" w:hAnsi="Calibri"/>
          <w:sz w:val="21"/>
          <w:szCs w:val="21"/>
        </w:rPr>
        <w:t xml:space="preserve">Rewriting operates bullet by bullet under an explicit contract. The model receives one original bullet, the target posting's requirement segment, and the set of skills the student has been verified to possess. It is instructed to reformulate the bullet to foreground the requirements the bullet genuinely addresses, and it is prohibited from introducing any technology, metric, responsibility or outcome not present in the source.</w:t>
      </w:r>
    </w:p>
    <w:p>
      <w:pPr>
        <w:spacing w:after="120" w:line="276"/>
      </w:pPr>
      <w:r>
        <w:rPr>
          <w:rFonts w:ascii="Calibri" w:cs="Calibri" w:eastAsia="Calibri" w:hAnsi="Calibri"/>
          <w:sz w:val="21"/>
          <w:szCs w:val="21"/>
        </w:rPr>
        <w:t xml:space="preserve">Enforcement does not rely on the instruction. Every rewritten bullet passes through a consistency checker that extracts the entity and quantity set from both the original and the rewrite and flags any addition. Flagged rewrites are rejected and regenerated once; a second failure returns the original bullet unchanged. This is the mechanism by which goal G3 is met, and its effectiveness is measured against an unconstrained-prompting baseline rather than asserted.</w:t>
      </w:r>
    </w:p>
    <w:p>
      <w:pPr>
        <w:pStyle w:val="Heading3"/>
        <w:spacing w:after="140" w:before="240"/>
      </w:pPr>
      <w:r>
        <w:rPr>
          <w:rFonts w:ascii="Calibri" w:cs="Calibri" w:eastAsia="Calibri" w:hAnsi="Calibri"/>
          <w:b/>
          <w:bCs/>
          <w:color w:val="1F3864"/>
          <w:sz w:val="22"/>
          <w:szCs w:val="22"/>
        </w:rPr>
        <w:t xml:space="preserve">7.2.7 Interview Preparation Retrieval</w:t>
      </w:r>
    </w:p>
    <w:p>
      <w:pPr>
        <w:spacing w:after="120" w:line="276"/>
      </w:pPr>
      <w:r>
        <w:rPr>
          <w:rFonts w:ascii="Calibri" w:cs="Calibri" w:eastAsia="Calibri" w:hAnsi="Calibri"/>
          <w:sz w:val="21"/>
          <w:szCs w:val="21"/>
        </w:rPr>
        <w:t xml:space="preserve">The skills and responsibilities extracted from the selected posting form a structured query against a vector store of question banks and interview reports. Retrieval is filtered by skill tags before semantic ranking, so that a Kubernetes-heavy backend role does not return generic behavioural questions ranked highly by surface similarity. Retrieved material is presented with its source, never paraphrased into unattributed advice.</w:t>
      </w:r>
    </w:p>
    <w:p>
      <w:pPr>
        <w:pStyle w:val="Heading3"/>
        <w:spacing w:after="140" w:before="240"/>
      </w:pPr>
      <w:r>
        <w:rPr>
          <w:rFonts w:ascii="Calibri" w:cs="Calibri" w:eastAsia="Calibri" w:hAnsi="Calibri"/>
          <w:b/>
          <w:bCs/>
          <w:color w:val="1F3864"/>
          <w:sz w:val="22"/>
          <w:szCs w:val="22"/>
        </w:rPr>
        <w:t xml:space="preserve">7.2.8 Application Plan Optimiser</w:t>
      </w:r>
    </w:p>
    <w:p>
      <w:pPr>
        <w:spacing w:after="120" w:line="276"/>
      </w:pPr>
      <w:r>
        <w:rPr>
          <w:rFonts w:ascii="Calibri" w:cs="Calibri" w:eastAsia="Calibri" w:hAnsi="Calibri"/>
          <w:sz w:val="21"/>
          <w:szCs w:val="21"/>
        </w:rPr>
        <w:t xml:space="preserve">The planning problem is stated formally. Given a set of selected openings, each with an estimated preparation cost in minutes (derived from the size of the gap between the current résumé and the target), an expected value (a function of match score and the student's stated preference), and a closing date, and given a weekly time budget, select and sequence a subset that maximises total expected value subject to the budget and to every selected opening being prepared before it closes.</w:t>
      </w:r>
    </w:p>
    <w:p>
      <w:pPr>
        <w:spacing w:after="120" w:line="276"/>
      </w:pPr>
      <w:r>
        <w:rPr>
          <w:rFonts w:ascii="Calibri" w:cs="Calibri" w:eastAsia="Calibri" w:hAnsi="Calibri"/>
          <w:sz w:val="21"/>
          <w:szCs w:val="21"/>
        </w:rPr>
        <w:t xml:space="preserve">This is a variant of the knapsack and scheduling problems and is solved with a genetic algorithm: permutation encoding over the candidate set, tournament selection, order crossover, swap mutation, and a penalty function for budget and deadline violations. A greedy score-ordered baseline and an A*-based search over small instances provide comparison points. The genetic algorithm is not chosen because it is the only method that could work — it is chosen because the problem is genuinely combinatorial, because preparation costs and deadlines make greedy ranking demonstrably suboptimal, and because the comparison against those baselines is itself an informative experiment.</w:t>
      </w:r>
    </w:p>
    <w:p>
      <w:pPr>
        <w:pStyle w:val="Heading3"/>
        <w:spacing w:after="140" w:before="240"/>
      </w:pPr>
      <w:r>
        <w:rPr>
          <w:rFonts w:ascii="Calibri" w:cs="Calibri" w:eastAsia="Calibri" w:hAnsi="Calibri"/>
          <w:b/>
          <w:bCs/>
          <w:color w:val="1F3864"/>
          <w:sz w:val="22"/>
          <w:szCs w:val="22"/>
        </w:rPr>
        <w:t xml:space="preserve">7.2.9 Agent Orchestration</w:t>
      </w:r>
    </w:p>
    <w:p>
      <w:pPr>
        <w:spacing w:after="120" w:line="276"/>
      </w:pPr>
      <w:r>
        <w:rPr>
          <w:rFonts w:ascii="Calibri" w:cs="Calibri" w:eastAsia="Calibri" w:hAnsi="Calibri"/>
          <w:sz w:val="21"/>
          <w:szCs w:val="21"/>
        </w:rPr>
        <w:t xml:space="preserve">A ReAct-style orchestrator exposes the above components as callable tools and sequences them in response to the student's natural-language requests. The orchestrator plans, invokes, observes results and revises — for example, if the rule engine rejects every opening, it reports which constraint was responsible and proposes relaxing it, rather than returning an empty list. The orchestrator does not itself perform reasoning about fit; it coordinates components that do. This separation is deliberate: it keeps the reasoning auditable and prevents the orchestration layer from becoming an unaccountable black box in the middle of the system.</w:t>
      </w:r>
    </w:p>
    <w:p>
      <w:pPr>
        <w:pStyle w:val="Heading2"/>
        <w:spacing w:after="140" w:before="240"/>
      </w:pPr>
      <w:r>
        <w:rPr>
          <w:rFonts w:ascii="Calibri" w:cs="Calibri" w:eastAsia="Calibri" w:hAnsi="Calibri"/>
          <w:b/>
          <w:bCs/>
          <w:color w:val="1F3864"/>
          <w:sz w:val="25"/>
          <w:szCs w:val="25"/>
        </w:rPr>
        <w:t xml:space="preserve">7.3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Layer</w:t>
            </w:r>
          </w:p>
        </w:tc>
        <w:tc>
          <w:tcPr>
            <w:tcW w:type="dxa" w:w="26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Technology</w:t>
            </w:r>
          </w:p>
        </w:tc>
        <w:tc>
          <w:tcPr>
            <w:tcW w:type="dxa" w:w="486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Rationale</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Backend</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Python 3.11, FastAPI</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Team familiarity; ecosystem for all required libraries</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Interface</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Streamlit</w:t>
            </w:r>
          </w:p>
        </w:tc>
        <w:tc>
          <w:tcPr>
            <w:tcW w:type="dxa" w:w="48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Delivers a demonstrable interface within the effort budget; a React front end would consume days better spent on reasoning components</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Rule engine</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durable_rules / Experta</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Genuine forward-chaining production systems rather than hand-written conditionals, so that rule provenance is a first-class output</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Knowledge graph</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Neo4j Aura Free, Cypher</w:t>
            </w:r>
          </w:p>
        </w:tc>
        <w:tc>
          <w:tcPr>
            <w:tcW w:type="dxa" w:w="48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Free tier is sufficient at our graph scale; Cypher expresses the multi-hop gap queries directly</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KG embeddings</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PyKEEN</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Implements TransE, ComplEx and RotatE with a common evaluation harness, enabling a fair comparison</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Embeddings</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sentence-transformers (all-MiniLM-L6-v2)</w:t>
            </w:r>
          </w:p>
        </w:tc>
        <w:tc>
          <w:tcPr>
            <w:tcW w:type="dxa" w:w="48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Strong quality-to-cost ratio; runs locally, avoiding per-call API cost on the highest-volume path</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Vector store</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ChromaDB</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Sufficient at our corpus size; no infrastructure overhead</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NLP</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spaCy (en_core_web_trf)</w:t>
            </w:r>
          </w:p>
        </w:tc>
        <w:tc>
          <w:tcPr>
            <w:tcW w:type="dxa" w:w="48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Transformer-based NER with span offsets, which the evidence-span requirement depends on</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Optimisation</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DEAP</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Transparent GA data structures suited to rapid operator prototyping</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ML</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scikit-learn, LightGBM</w:t>
            </w:r>
          </w:p>
        </w:tc>
        <w:tc>
          <w:tcPr>
            <w:tcW w:type="dxa" w:w="48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Clustering, calibration and the learned ranking variant</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Orchestration and RAG</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LangChain</w:t>
            </w:r>
          </w:p>
        </w:tc>
        <w:tc>
          <w:tcPr>
            <w:tcW w:type="dxa" w:w="48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Tool abstraction and retrieval plumbing; avoids reimplementing standard components</w:t>
            </w:r>
          </w:p>
        </w:tc>
      </w:tr>
    </w:tbl>
    <w:p>
      <w:pPr>
        <w:spacing w:after="120" w:line="276"/>
      </w:pPr>
      <w:r>
        <w:rPr>
          <w:rFonts w:ascii="Calibri" w:cs="Calibri" w:eastAsia="Calibri" w:hAnsi="Calibri"/>
          <w:sz w:val="21"/>
          <w:szCs w:val="21"/>
        </w:rPr>
        <w:t xml:space="preserve">All components are open source, consistent with the module briefing's guidance to adopt existing open-source sub-modules and APIs rather than reinventing them.</w:t>
      </w:r>
    </w:p>
    <w:p>
      <w:pPr>
        <w:pStyle w:val="Heading2"/>
        <w:spacing w:after="140" w:before="240"/>
      </w:pPr>
      <w:r>
        <w:rPr>
          <w:rFonts w:ascii="Calibri" w:cs="Calibri" w:eastAsia="Calibri" w:hAnsi="Calibri"/>
          <w:b/>
          <w:bCs/>
          <w:color w:val="1F3864"/>
          <w:sz w:val="25"/>
          <w:szCs w:val="25"/>
        </w:rPr>
        <w:t xml:space="preserve">7.4 Key Design Decisions</w:t>
      </w:r>
    </w:p>
    <w:p>
      <w:pPr>
        <w:spacing w:after="120" w:line="276"/>
      </w:pPr>
      <w:r>
        <w:rPr>
          <w:rFonts w:ascii="Calibri" w:cs="Calibri" w:eastAsia="Calibri" w:hAnsi="Calibri"/>
          <w:sz w:val="21"/>
          <w:szCs w:val="21"/>
        </w:rPr>
        <w:t xml:space="preserve">The following table records the alternatives considered and the reasoning behind each choice, since the design rationale is as much a deliverable as the design itself.</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Decision</w:t>
            </w:r>
          </w:p>
        </w:tc>
        <w:tc>
          <w:tcPr>
            <w:tcW w:type="dxa" w:w="20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Alternatives</w:t>
            </w:r>
          </w:p>
        </w:tc>
        <w:tc>
          <w:tcPr>
            <w:tcW w:type="dxa" w:w="576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Choice and Reasoning</w:t>
            </w:r>
          </w:p>
        </w:tc>
      </w:tr>
      <w:tr>
        <w:tc>
          <w:tcPr>
            <w:tcW w:type="dxa" w:w="1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Placement of hard constraints</w:t>
            </w:r>
          </w:p>
        </w:tc>
        <w:tc>
          <w:tcPr>
            <w:tcW w:type="dxa" w:w="20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As features in the scoring model; (b) as a rule engine before scoring</w:t>
            </w:r>
          </w:p>
        </w:tc>
        <w:tc>
          <w:tcPr>
            <w:tcW w:type="dxa" w:w="57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Work-pass eligibility and degree minimums are admission criteria, not preferences to be traded off. A high-scoring role the student cannot legally hold has negative value, since it consumes attention. Pre-filtering additionally reduces the candidate set by roughly an order of magnitude before any embedding computation, which is what keeps the pipeline responsive.</w:t>
            </w:r>
          </w:p>
        </w:tc>
      </w:tr>
      <w:tr>
        <w:tc>
          <w:tcPr>
            <w:tcW w:type="dxa" w:w="1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Matching representation</w:t>
            </w:r>
          </w:p>
        </w:tc>
        <w:tc>
          <w:tcPr>
            <w:tcW w:type="dxa" w:w="2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Whole-document embedding similarity; (b) structured extraction then per-dimension scoring</w:t>
            </w:r>
          </w:p>
        </w:tc>
        <w:tc>
          <w:tcPr>
            <w:tcW w:type="dxa" w:w="5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retaining (a) as an experimental baseline. Postings devote substantial text to company description and benefits, which dilutes the skill signal under whole-document embedding. Per-dimension scoring is also decomposable, which goal G2 requires, and ablatable, which the experimental design requires. The literature supports this: both APJFNN's per-requirement attention and Yao et al.'s knowledge injection are forms of decomposition.</w:t>
            </w:r>
          </w:p>
        </w:tc>
      </w:tr>
      <w:tr>
        <w:tc>
          <w:tcPr>
            <w:tcW w:type="dxa" w:w="1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Skill similarity</w:t>
            </w:r>
          </w:p>
        </w:tc>
        <w:tc>
          <w:tcPr>
            <w:tcW w:type="dxa" w:w="20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Embeddings alone; (b) knowledge graph alone; (c) both</w:t>
            </w:r>
          </w:p>
        </w:tc>
        <w:tc>
          <w:tcPr>
            <w:tcW w:type="dxa" w:w="57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 Embeddings answer how similar two skills are; the graph answers why, and by what path. Only the combination supports the transferable-versus-hard gap distinction, which is what converts a score into advice the student can act on.</w:t>
            </w:r>
          </w:p>
        </w:tc>
      </w:tr>
      <w:tr>
        <w:tc>
          <w:tcPr>
            <w:tcW w:type="dxa" w:w="1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Skill taxonomy</w:t>
            </w:r>
          </w:p>
        </w:tc>
        <w:tc>
          <w:tcPr>
            <w:tcW w:type="dxa" w:w="2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Hand-built; (b) ESCO</w:t>
            </w:r>
          </w:p>
        </w:tc>
        <w:tc>
          <w:tcPr>
            <w:tcW w:type="dxa" w:w="5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A hand-built taxonomy within our budget would cover roughly two hundred skills, require ongoing manual maintenance and contribute nothing methodologically. ESCO offers approximately 13,900 concepts, a maintained alias structure that resolves surface-form variation, and a graph over which multi-hop reasoning is meaningful.</w:t>
            </w:r>
          </w:p>
        </w:tc>
      </w:tr>
      <w:tr>
        <w:tc>
          <w:tcPr>
            <w:tcW w:type="dxa" w:w="1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Résumé rewriting</w:t>
            </w:r>
          </w:p>
        </w:tc>
        <w:tc>
          <w:tcPr>
            <w:tcW w:type="dxa" w:w="20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Direct prompting; (b) constrained rewriting with automated verification</w:t>
            </w:r>
          </w:p>
        </w:tc>
        <w:tc>
          <w:tcPr>
            <w:tcW w:type="dxa" w:w="57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Direct prompting fabricates experience, which fails goal G3 outright and would make the tool actively harmful to a student who trusted it. Constraining the model to span-level reformulation and verifying entity and quantity sets afterwards makes faithfulness a measured property.</w:t>
            </w:r>
          </w:p>
        </w:tc>
      </w:tr>
      <w:tr>
        <w:tc>
          <w:tcPr>
            <w:tcW w:type="dxa" w:w="1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Application prioritisation</w:t>
            </w:r>
          </w:p>
        </w:tc>
        <w:tc>
          <w:tcPr>
            <w:tcW w:type="dxa" w:w="2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Rank by score, take top K; (b) constrained optimisation</w:t>
            </w:r>
          </w:p>
        </w:tc>
        <w:tc>
          <w:tcPr>
            <w:tcW w:type="dxa" w:w="57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with (a) as a baseline. Ranking ignores the cost of acting on each item and the deadlines that constrain when it can be acted on. Preparing three twenty-minute applications may dominate one two-hour application, and no ranked list can express that.</w:t>
            </w:r>
          </w:p>
        </w:tc>
      </w:tr>
      <w:tr>
        <w:tc>
          <w:tcPr>
            <w:tcW w:type="dxa" w:w="1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Application submission</w:t>
            </w:r>
          </w:p>
        </w:tc>
        <w:tc>
          <w:tcPr>
            <w:tcW w:type="dxa" w:w="20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 Automated; (b) package generation with human submission</w:t>
            </w:r>
          </w:p>
        </w:tc>
        <w:tc>
          <w:tcPr>
            <w:tcW w:type="dxa" w:w="57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 Prohibited by platform terms of service, and irreversible actions should not be automated without review. The student loses nothing of substance and gains a reviewed submission.</w:t>
            </w:r>
          </w:p>
        </w:tc>
      </w:tr>
    </w:tbl>
    <w:p>
      <w:pPr>
        <w:pStyle w:val="Heading2"/>
        <w:spacing w:after="140" w:before="240"/>
      </w:pPr>
      <w:r>
        <w:rPr>
          <w:rFonts w:ascii="Calibri" w:cs="Calibri" w:eastAsia="Calibri" w:hAnsi="Calibri"/>
          <w:b/>
          <w:bCs/>
          <w:color w:val="1F3864"/>
          <w:sz w:val="25"/>
          <w:szCs w:val="25"/>
        </w:rPr>
        <w:t xml:space="preserve">7.5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Property</w:t>
            </w:r>
          </w:p>
        </w:tc>
        <w:tc>
          <w:tcPr>
            <w:tcW w:type="dxa" w:w="74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Target</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Latency</w:t>
            </w:r>
          </w:p>
        </w:tc>
        <w:tc>
          <w:tcPr>
            <w:tcW w:type="dxa" w:w="74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Ranking of a 3,000-posting corpus returned within 10 seconds; résumé rewriting of a single bullet within 5 seconds</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Auditability</w:t>
            </w:r>
          </w:p>
        </w:tc>
        <w:tc>
          <w:tcPr>
            <w:tcW w:type="dxa" w:w="74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Every recommendation reproducible from its stored provenance record without re-invoking any language model</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Privacy</w:t>
            </w:r>
          </w:p>
        </w:tc>
        <w:tc>
          <w:tcPr>
            <w:tcW w:type="dxa" w:w="74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 PII pseudonymised before any external API call; no résumé content persisted beyond the session</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Degradation</w:t>
            </w:r>
          </w:p>
        </w:tc>
        <w:tc>
          <w:tcPr>
            <w:tcW w:type="dxa" w:w="74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Failure of the LLM extraction fallback degrades extraction recall but does not break the pipeline; failure of any single ingestion source does not block the others</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Cost</w:t>
            </w:r>
          </w:p>
        </w:tc>
        <w:tc>
          <w:tcPr>
            <w:tcW w:type="dxa" w:w="74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Language model invocation restricted to extraction fallback, rewriting and orchestration; the per-posting scoring path is entirely local</w:t>
            </w:r>
          </w:p>
        </w:tc>
      </w:tr>
    </w:tbl>
    <w:p>
      <w:pPr>
        <w:pStyle w:val="Heading2"/>
        <w:spacing w:after="140" w:before="240"/>
      </w:pPr>
      <w:r>
        <w:rPr>
          <w:rFonts w:ascii="Calibri" w:cs="Calibri" w:eastAsia="Calibri" w:hAnsi="Calibri"/>
          <w:b/>
          <w:bCs/>
          <w:color w:val="1F3864"/>
          <w:sz w:val="25"/>
          <w:szCs w:val="25"/>
        </w:rPr>
        <w:t xml:space="preserve">7.6 Handling the Absence of Outcome Labels</w:t>
      </w:r>
    </w:p>
    <w:p>
      <w:pPr>
        <w:spacing w:after="120" w:line="276"/>
      </w:pPr>
      <w:r>
        <w:rPr>
          <w:rFonts w:ascii="Calibri" w:cs="Calibri" w:eastAsia="Calibri" w:hAnsi="Calibri"/>
          <w:sz w:val="21"/>
          <w:szCs w:val="21"/>
        </w:rPr>
        <w:t xml:space="preserve">No real application outcome data exists at project start, and pretending otherwise would invalidate the evaluation. Three proxy labelling strategies are used and their mutual agreement reported as Cohen's kappa, so that the reliability of the evaluation is itself a reported quantity rather than an assumption: team annotation of 300 résumé–posting pairs on a three-point relevance scale; automatic positive and negative labelling based on whether a posting's explicitly stated must-have skills are fully covered; and a consistency check exploiting the fact that postings from the same employer at the same seniority should receive similar treatment.</w:t>
      </w:r>
    </w:p>
    <w:p>
      <w:r>
        <w:br w:type="page"/>
      </w:r>
    </w:p>
    <w:p>
      <w:pPr>
        <w:pStyle w:val="Heading1"/>
        <w:spacing w:after="140" w:before="360"/>
      </w:pPr>
      <w:r>
        <w:rPr>
          <w:rFonts w:ascii="Calibri" w:cs="Calibri" w:eastAsia="Calibri" w:hAnsi="Calibri"/>
          <w:b/>
          <w:bCs/>
          <w:color w:val="1F3864"/>
          <w:sz w:val="30"/>
          <w:szCs w:val="30"/>
        </w:rPr>
        <w:t xml:space="preserve">8. Reasoning Techniques</w:t>
      </w:r>
    </w:p>
    <w:p>
      <w:pPr>
        <w:pStyle w:val="Heading2"/>
        <w:spacing w:after="140" w:before="240"/>
      </w:pPr>
      <w:r>
        <w:rPr>
          <w:rFonts w:ascii="Calibri" w:cs="Calibri" w:eastAsia="Calibri" w:hAnsi="Calibri"/>
          <w:b/>
          <w:bCs/>
          <w:color w:val="1F3864"/>
          <w:sz w:val="25"/>
          <w:szCs w:val="25"/>
        </w:rPr>
        <w:t xml:space="preserve">8.1 Coverage of the Four Technique Groups</w:t>
      </w:r>
    </w:p>
    <w:p>
      <w:pPr>
        <w:spacing w:after="120" w:line="276"/>
      </w:pPr>
      <w:r>
        <w:rPr>
          <w:rFonts w:ascii="Calibri" w:cs="Calibri" w:eastAsia="Calibri" w:hAnsi="Calibri"/>
          <w:sz w:val="21"/>
          <w:szCs w:val="21"/>
        </w:rPr>
        <w:t xml:space="preserve">The practice module requires a system to develop, integrate and demonstrate at least three of four technique groups. IT CareerPilot implements all four. Each is load-bearing: removing any one degrades a capability the system is assessed on, which is the test of whether a technique is genuinely integrated rather than decoratively attached.</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60"/>
        <w:gridCol w:w="2600"/>
      </w:tblGrid>
      <w:tr>
        <w:trPr>
          <w:tblHeader/>
        </w:trPr>
        <w:tc>
          <w:tcPr>
            <w:tcW w:type="dxa" w:w="18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Group</w:t>
            </w:r>
          </w:p>
        </w:tc>
        <w:tc>
          <w:tcPr>
            <w:tcW w:type="dxa" w:w="19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Module</w:t>
            </w:r>
          </w:p>
        </w:tc>
        <w:tc>
          <w:tcPr>
            <w:tcW w:type="dxa" w:w="306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Techniques</w:t>
            </w:r>
          </w:p>
        </w:tc>
        <w:tc>
          <w:tcPr>
            <w:tcW w:type="dxa" w:w="2600"/>
            <w:shd w:fill="DEEAF6"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Course Origin</w:t>
            </w:r>
          </w:p>
        </w:tc>
      </w:tr>
      <w:tr>
        <w:tc>
          <w:tcPr>
            <w:tcW w:type="dxa" w:w="18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① Decision automation
(business rules / knowledge-based reasoning)</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Eligibility rule engine; structured slot rules governing résumé rewriting</w:t>
            </w:r>
          </w:p>
        </w:tc>
        <w:tc>
          <w:tcPr>
            <w:tcW w:type="dxa" w:w="306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Forward-chaining production rules; conflict set and conflict resolution by priority and longest match; rule induction from decision trees for threshold calibration</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MR Day 2 (forward and backward chaining, conflict resolution, rule extraction); RS Day 1 (Rules + ML hybrid pattern)</w:t>
            </w:r>
          </w:p>
        </w:tc>
      </w:tr>
      <w:tr>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② Business resource optimisation
(informed search / evolutionary computing)</w:t>
            </w:r>
          </w:p>
        </w:tc>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Application plan optimiser</w:t>
            </w:r>
          </w:p>
        </w:tc>
        <w:tc>
          <w:tcPr>
            <w:tcW w:type="dxa" w:w="30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Genetic algorithm with permutation encoding, tournament selection, order crossover, swap mutation and penalty-function constraint handling; greedy and A* baselines</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RS Day 4 (GA cycle, encoding, operators, penalty functions, parameter tuning); MR Day 1 (A*, heuristic search)</w:t>
            </w:r>
          </w:p>
        </w:tc>
      </w:tr>
      <w:tr>
        <w:tc>
          <w:tcPr>
            <w:tcW w:type="dxa" w:w="18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③ Knowledge discovery and data mining</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Hybrid ranking engine; posting clustering; skill co-occurrence mining</w:t>
            </w:r>
          </w:p>
        </w:tc>
        <w:tc>
          <w:tcPr>
            <w:tcW w:type="dxa" w:w="306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Sentence-BERT embeddings with cosine similarity; TF-IDF baseline; k-means clustering of postings; Apriori association rules over skill co-occurrence; LightGBM ranking model on proxy labels</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MR Day 4 (k-means, ensembles, evaluation metrics); RS Day 2 (TF-IDF, cosine similarity, market basket analysis, Precision@K, NDCG)</w:t>
            </w:r>
          </w:p>
        </w:tc>
      </w:tr>
      <w:tr>
        <w:tc>
          <w:tcPr>
            <w:tcW w:type="dxa" w:w="18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④ Cognitive techniques</w:t>
            </w:r>
          </w:p>
        </w:tc>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Agent orchestrator; NER extraction; skill knowledge graph; RAG interview retrieval; natural-language interface</w:t>
            </w:r>
          </w:p>
        </w:tc>
        <w:tc>
          <w:tcPr>
            <w:tcW w:type="dxa" w:w="30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ReAct-style planning with tool invocation; spaCy NER with BIO span labelling; Neo4j knowledge graph with multi-hop Cypher traversal; knowledge graph embeddings (TransE, ComplEx, RotatE) for link prediction; retrieval-augmented generation with grounded output</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CGS Day 1 AM (NLU pipeline, NER, RAG, LLM agents, planning and memory); MR Day 3 and RS Day 5 (knowledge graphs, PyKEEN, Neo4j, Graph-RAG)</w:t>
            </w:r>
          </w:p>
        </w:tc>
      </w:tr>
    </w:tbl>
    <w:p>
      <w:pPr>
        <w:pStyle w:val="Heading2"/>
        <w:spacing w:after="140" w:before="240"/>
      </w:pPr>
      <w:r>
        <w:rPr>
          <w:rFonts w:ascii="Calibri" w:cs="Calibri" w:eastAsia="Calibri" w:hAnsi="Calibri"/>
          <w:b/>
          <w:bCs/>
          <w:color w:val="1F3864"/>
          <w:sz w:val="25"/>
          <w:szCs w:val="25"/>
        </w:rPr>
        <w:t xml:space="preserve">8.2 Rule-Based Reasoning</w:t>
      </w:r>
    </w:p>
    <w:p>
      <w:pPr>
        <w:spacing w:after="120" w:line="276"/>
      </w:pPr>
      <w:r>
        <w:rPr>
          <w:rFonts w:ascii="Calibri" w:cs="Calibri" w:eastAsia="Calibri" w:hAnsi="Calibri"/>
          <w:sz w:val="21"/>
          <w:szCs w:val="21"/>
        </w:rPr>
        <w:t xml:space="preserve">Rule-based reasoning governs admission. The engine maintains working memory containing the student profile and the posting under evaluation, and fires production rules in a forward-chaining cycle until no further rule applies. Rules are grouped by priority: statutory and eligibility rules fire first and can terminate evaluation with a REJECT; preference rules fire subsequently and can only demote.</w:t>
      </w:r>
    </w:p>
    <w:p>
      <w:pPr>
        <w:spacing w:after="120" w:line="276"/>
      </w:pPr>
      <w:r>
        <w:rPr>
          <w:rFonts w:ascii="Calibri" w:cs="Calibri" w:eastAsia="Calibri" w:hAnsi="Calibri"/>
          <w:sz w:val="21"/>
          <w:szCs w:val="21"/>
        </w:rPr>
        <w:t xml:space="preserve">Conflict resolution follows the strategies covered in the Machine Reasoning module. When multiple rules match, priority ordering governs; where priorities are equal, the more specific rule — the one with the longer condition — wins. This matters in practice: a general rule about minimum degree level and a specific rule about a particular programme accreditation may both match, and the specific rule should determine the outcome.</w:t>
      </w:r>
    </w:p>
    <w:p>
      <w:pPr>
        <w:spacing w:after="120" w:line="276"/>
      </w:pPr>
      <w:r>
        <w:rPr>
          <w:rFonts w:ascii="Calibri" w:cs="Calibri" w:eastAsia="Calibri" w:hAnsi="Calibri"/>
          <w:sz w:val="21"/>
          <w:szCs w:val="21"/>
        </w:rPr>
        <w:t xml:space="preserve">A second application of rule-based reasoning governs résumé rewriting. Rather than allowing free-form generation, structured rules determine which bullet points are eligible for rewriting against a given requirement, what may be foregrounded, and what must be preserved verbatim. The language model operates inside the space these rules define.</w:t>
      </w:r>
    </w:p>
    <w:p>
      <w:pPr>
        <w:pStyle w:val="Heading2"/>
        <w:spacing w:after="140" w:before="240"/>
      </w:pPr>
      <w:r>
        <w:rPr>
          <w:rFonts w:ascii="Calibri" w:cs="Calibri" w:eastAsia="Calibri" w:hAnsi="Calibri"/>
          <w:b/>
          <w:bCs/>
          <w:color w:val="1F3864"/>
          <w:sz w:val="25"/>
          <w:szCs w:val="25"/>
        </w:rPr>
        <w:t xml:space="preserve">8.3 Knowledge-Based Reasoning over the Skill Graph</w:t>
      </w:r>
    </w:p>
    <w:p>
      <w:pPr>
        <w:spacing w:after="120" w:line="276"/>
      </w:pPr>
      <w:r>
        <w:rPr>
          <w:rFonts w:ascii="Calibri" w:cs="Calibri" w:eastAsia="Calibri" w:hAnsi="Calibri"/>
          <w:sz w:val="21"/>
          <w:szCs w:val="21"/>
        </w:rPr>
        <w:t xml:space="preserve">Knowledge-based reasoning answers questions that similarity cannot. The graph encodes IS_A, SIMILAR_TO and REQUIRES relations over ESCO concepts, and gap classification is a bounded traversal: for each required skill the student lacks, search for a path of length at most two from any skill the student possesses. Existence of such a path classifies the gap as transferable and returns the path as evidence; absence classifies it as hard.</w:t>
      </w:r>
    </w:p>
    <w:p>
      <w:pPr>
        <w:spacing w:after="120" w:line="276"/>
      </w:pPr>
      <w:r>
        <w:rPr>
          <w:rFonts w:ascii="Calibri" w:cs="Calibri" w:eastAsia="Calibri" w:hAnsi="Calibri"/>
          <w:sz w:val="21"/>
          <w:szCs w:val="21"/>
        </w:rPr>
        <w:t xml:space="preserve">The practical consequence is a change in the advice the system can give. For a transferable gap the correct advice is to reframe existing experience — a student with PyTorch experience applying to a TensorFlow role should foreground framework-agnostic modelling work. For a hard gap the correct advice is either to acquire the skill or to deprioritise the role. A cosine similarity of 0.6 supports neither recommendation, because it cannot say which situation produced it.</w:t>
      </w:r>
    </w:p>
    <w:p>
      <w:pPr>
        <w:spacing w:after="120" w:line="276"/>
      </w:pPr>
      <w:r>
        <w:rPr>
          <w:rFonts w:ascii="Calibri" w:cs="Calibri" w:eastAsia="Calibri" w:hAnsi="Calibri"/>
          <w:sz w:val="21"/>
          <w:szCs w:val="21"/>
        </w:rPr>
        <w:t xml:space="preserve">Because ESCO's vocabulary and real posting vocabulary diverge, the graph is completed by knowledge graph embedding. Our relation set contains both symmetric relations (SIMILAR_TO) and asymmetric ones (IS_A), which argues against TransE's translation assumption and in favour of ComplEx or RotatE. All three will be trained with PyKEEN and compared on held-out link prediction using Hits@K and mean reciprocal rank; predicted edges above a confidence threshold are added to the working graph.</w:t>
      </w:r>
    </w:p>
    <w:p>
      <w:pPr>
        <w:pStyle w:val="Heading2"/>
        <w:spacing w:after="140" w:before="240"/>
      </w:pPr>
      <w:r>
        <w:rPr>
          <w:rFonts w:ascii="Calibri" w:cs="Calibri" w:eastAsia="Calibri" w:hAnsi="Calibri"/>
          <w:b/>
          <w:bCs/>
          <w:color w:val="1F3864"/>
          <w:sz w:val="25"/>
          <w:szCs w:val="25"/>
        </w:rPr>
        <w:t xml:space="preserve">8.4 Semantic and Statistical Reasoning</w:t>
      </w:r>
    </w:p>
    <w:p>
      <w:pPr>
        <w:spacing w:after="120" w:line="276"/>
      </w:pPr>
      <w:r>
        <w:rPr>
          <w:rFonts w:ascii="Calibri" w:cs="Calibri" w:eastAsia="Calibri" w:hAnsi="Calibri"/>
          <w:sz w:val="21"/>
          <w:szCs w:val="21"/>
        </w:rPr>
        <w:t xml:space="preserve">Semantic reasoning supplies what symbolic matching misses. A student who writes "implemented a REST API in Flask for a university booking system" and a posting that asks for "backend service development" share no terms, and no skill dictionary will connect the sentences as sentences even if it connects Flask to backend development. Sentence-BERT embeddings connect them, and the cosine similarity between the student's project text and the posting's responsibilities segment forms the semantic term of the scoring function.</w:t>
      </w:r>
    </w:p>
    <w:p>
      <w:pPr>
        <w:spacing w:after="120" w:line="276"/>
      </w:pPr>
      <w:r>
        <w:rPr>
          <w:rFonts w:ascii="Calibri" w:cs="Calibri" w:eastAsia="Calibri" w:hAnsi="Calibri"/>
          <w:sz w:val="21"/>
          <w:szCs w:val="21"/>
        </w:rPr>
        <w:t xml:space="preserve">Statistical reasoning contributes elsewhere in the pipeline. K-means clustering over posting embeddings groups roles whose titles differ but whose substance does not, which corrects for the well-known inconsistency of job titles across employers. Apriori association rule mining over the skill sets of the corpus surfaces co-occurrence patterns — for instance that postings requiring Kubernetes overwhelmingly also require Docker and a CI/CD tool — which feeds back into both gap advice and preparation-cost estimation for the optimiser.</w:t>
      </w:r>
    </w:p>
    <w:p>
      <w:pPr>
        <w:spacing w:after="120" w:line="276"/>
      </w:pPr>
      <w:r>
        <w:rPr>
          <w:rFonts w:ascii="Calibri" w:cs="Calibri" w:eastAsia="Calibri" w:hAnsi="Calibri"/>
          <w:sz w:val="21"/>
          <w:szCs w:val="21"/>
        </w:rPr>
        <w:t xml:space="preserve">Where sufficient proxy labels exist, a LightGBM ranking model is trained over the same four interpretable features used in the linear score. This is a deliberate constraint: the learned model may reweight the features but may not introduce opaque ones, so the explanation remains valid regardless of which ranker is in use.</w:t>
      </w:r>
    </w:p>
    <w:p>
      <w:pPr>
        <w:pStyle w:val="Heading2"/>
        <w:spacing w:after="140" w:before="240"/>
      </w:pPr>
      <w:r>
        <w:rPr>
          <w:rFonts w:ascii="Calibri" w:cs="Calibri" w:eastAsia="Calibri" w:hAnsi="Calibri"/>
          <w:b/>
          <w:bCs/>
          <w:color w:val="1F3864"/>
          <w:sz w:val="25"/>
          <w:szCs w:val="25"/>
        </w:rPr>
        <w:t xml:space="preserve">8.5 Optimisation Reasoning</w:t>
      </w:r>
    </w:p>
    <w:p>
      <w:pPr>
        <w:spacing w:after="120" w:line="276"/>
      </w:pPr>
      <w:r>
        <w:rPr>
          <w:rFonts w:ascii="Calibri" w:cs="Calibri" w:eastAsia="Calibri" w:hAnsi="Calibri"/>
          <w:sz w:val="21"/>
          <w:szCs w:val="21"/>
        </w:rPr>
        <w:t xml:space="preserve">The application planning problem is formalised as follows. Let the selected openings be indexed by i, with expected value vᵢ, preparation cost cᵢ in minutes, and closing date dᵢ. Given a weekly budget B minutes, find a subset and an ordering maximising Σvᵢ over the selected set, subject to Σcᵢ ≤ B and to each selected opening being completed before dᵢ.</w:t>
      </w:r>
    </w:p>
    <w:p>
      <w:pPr>
        <w:spacing w:after="120" w:line="276"/>
      </w:pPr>
      <w:r>
        <w:rPr>
          <w:rFonts w:ascii="Calibri" w:cs="Calibri" w:eastAsia="Calibri" w:hAnsi="Calibri"/>
          <w:sz w:val="21"/>
          <w:szCs w:val="21"/>
        </w:rPr>
        <w:t xml:space="preserve">The genetic algorithm operates over permutations of the candidate set, with a decoder that walks the permutation and admits openings while budget and deadlines permit. Tournament selection maintains diversity; order crossover preserves relative sequence, which matters because sequence determines which deadlines are met; swap mutation provides local exploration. Budget and deadline violations are handled by penalty rather than by rejection, so that the population can traverse infeasible regions — a standard technique from the Reasoning Systems material and one whose value we expect to show in the convergence comparison.</w:t>
      </w:r>
    </w:p>
    <w:p>
      <w:pPr>
        <w:spacing w:after="120" w:line="276"/>
      </w:pPr>
      <w:r>
        <w:rPr>
          <w:rFonts w:ascii="Calibri" w:cs="Calibri" w:eastAsia="Calibri" w:hAnsi="Calibri"/>
          <w:sz w:val="21"/>
          <w:szCs w:val="21"/>
        </w:rPr>
        <w:t xml:space="preserve">Two baselines contextualise the result. A greedy baseline sorts by value and admits while the budget allows, which is optimal only when costs are uniform. An A* search over small instances provides an exact reference on problems small enough to solve exactly, allowing us to quantify the genetic algorithm's optimality gap rather than merely reporting that it converged.</w:t>
      </w:r>
    </w:p>
    <w:p>
      <w:pPr>
        <w:pStyle w:val="Heading2"/>
        <w:spacing w:after="140" w:before="240"/>
      </w:pPr>
      <w:r>
        <w:rPr>
          <w:rFonts w:ascii="Calibri" w:cs="Calibri" w:eastAsia="Calibri" w:hAnsi="Calibri"/>
          <w:b/>
          <w:bCs/>
          <w:color w:val="1F3864"/>
          <w:sz w:val="25"/>
          <w:szCs w:val="25"/>
        </w:rPr>
        <w:t xml:space="preserve">8.6 Cognitive Reasoning and Orchestration</w:t>
      </w:r>
    </w:p>
    <w:p>
      <w:pPr>
        <w:spacing w:after="120" w:line="276"/>
      </w:pPr>
      <w:r>
        <w:rPr>
          <w:rFonts w:ascii="Calibri" w:cs="Calibri" w:eastAsia="Calibri" w:hAnsi="Calibri"/>
          <w:sz w:val="21"/>
          <w:szCs w:val="21"/>
        </w:rPr>
        <w:t xml:space="preserve">The cognitive layer covers language understanding, knowledge representation, retrieval and orchestration.</w:t>
      </w:r>
    </w:p>
    <w:p>
      <w:pPr>
        <w:spacing w:after="120" w:line="276"/>
      </w:pPr>
      <w:r>
        <w:rPr>
          <w:rFonts w:ascii="Calibri" w:cs="Calibri" w:eastAsia="Calibri" w:hAnsi="Calibri"/>
          <w:sz w:val="21"/>
          <w:szCs w:val="21"/>
        </w:rPr>
        <w:t xml:space="preserve">Understanding operates through the NLU pipeline covered in the Cognitive Systems module: tokenisation, entity extraction via BIO-tagged sequence labelling, and slot filling into the structured schema. Where slots remain unfilled after deterministic extraction, the orchestrator either invokes LLM extraction or asks the student, following the completeness-check pattern of dialogue management rather than silently proceeding with missing information.</w:t>
      </w:r>
    </w:p>
    <w:p>
      <w:pPr>
        <w:spacing w:after="120" w:line="276"/>
      </w:pPr>
      <w:r>
        <w:rPr>
          <w:rFonts w:ascii="Calibri" w:cs="Calibri" w:eastAsia="Calibri" w:hAnsi="Calibri"/>
          <w:sz w:val="21"/>
          <w:szCs w:val="21"/>
        </w:rPr>
        <w:t xml:space="preserve">Retrieval is retrieval-augmented generation with a structured pre-filter. The interview preparation module retrieves by skill tag before semantic ranking, and generation is grounded in retrieved chunks with sources retained. The résumé rewriter uses the same grounding discipline with the source résumé itself as the retrieval corpus, which is what makes the faithfulness check tractable: the set of admissible facts is small, enumerable and known in advance.</w:t>
      </w:r>
    </w:p>
    <w:p>
      <w:pPr>
        <w:spacing w:after="120" w:line="276"/>
      </w:pPr>
      <w:r>
        <w:rPr>
          <w:rFonts w:ascii="Calibri" w:cs="Calibri" w:eastAsia="Calibri" w:hAnsi="Calibri"/>
          <w:sz w:val="21"/>
          <w:szCs w:val="21"/>
        </w:rPr>
        <w:t xml:space="preserve">Orchestration follows the ReAct pattern of interleaved reasoning and action. The orchestrator plans a sequence of tool invocations, observes each result, and revises. Its reflective capacity handles the failure modes that would otherwise produce unhelpful output: an empty result set after rule filtering triggers a report of which constraint eliminated the candidates and a proposal to relax it; a rewrite that fails the consistency check triggers one regeneration and then a fallback to the original.</w:t>
      </w:r>
    </w:p>
    <w:p>
      <w:pPr>
        <w:spacing w:after="120" w:line="276"/>
      </w:pPr>
      <w:r>
        <w:rPr>
          <w:rFonts w:ascii="Calibri" w:cs="Calibri" w:eastAsia="Calibri" w:hAnsi="Calibri"/>
          <w:b/>
          <w:bCs/>
          <w:sz w:val="21"/>
          <w:szCs w:val="21"/>
        </w:rPr>
        <w:t xml:space="preserve">The orchestrator's boundaries are as important as its capabilities. </w:t>
      </w:r>
      <w:r>
        <w:rPr>
          <w:rFonts w:ascii="Calibri" w:cs="Calibri" w:eastAsia="Calibri" w:hAnsi="Calibri"/>
          <w:sz w:val="21"/>
          <w:szCs w:val="21"/>
        </w:rPr>
        <w:t xml:space="preserve">It sequences components; it does not decide fit, does not override rule verdicts, and does not generate claims about the student. Keeping reasoning out of the orchestration layer is what preserves the auditability the rest of the design is built to provide.</w:t>
      </w:r>
    </w:p>
    <w:p>
      <w:pPr>
        <w:pStyle w:val="Heading2"/>
        <w:spacing w:after="140" w:before="240"/>
      </w:pPr>
      <w:r>
        <w:rPr>
          <w:rFonts w:ascii="Calibri" w:cs="Calibri" w:eastAsia="Calibri" w:hAnsi="Calibri"/>
          <w:b/>
          <w:bCs/>
          <w:color w:val="1F3864"/>
          <w:sz w:val="25"/>
          <w:szCs w:val="25"/>
        </w:rPr>
        <w:t xml:space="preserve">8.7 Responsible AI Considerations</w:t>
      </w:r>
    </w:p>
    <w:p>
      <w:pPr>
        <w:pStyle w:val="ListParagraph"/>
        <w:numPr>
          <w:ilvl w:val="0"/>
          <w:numId w:val="2"/>
        </w:numPr>
        <w:spacing w:after="70" w:line="276"/>
      </w:pPr>
      <w:r>
        <w:rPr>
          <w:rFonts w:ascii="Calibri" w:cs="Calibri" w:eastAsia="Calibri" w:hAnsi="Calibri"/>
          <w:b/>
          <w:bCs/>
          <w:sz w:val="21"/>
          <w:szCs w:val="21"/>
        </w:rPr>
        <w:t xml:space="preserve">Fabrication. </w:t>
      </w:r>
      <w:r>
        <w:rPr>
          <w:rFonts w:ascii="Calibri" w:cs="Calibri" w:eastAsia="Calibri" w:hAnsi="Calibri"/>
          <w:sz w:val="21"/>
          <w:szCs w:val="21"/>
        </w:rPr>
        <w:t xml:space="preserve">Addressed by constrained generation and automated verification, and measured under goal G3 rather than asserted.</w:t>
      </w:r>
    </w:p>
    <w:p>
      <w:pPr>
        <w:pStyle w:val="ListParagraph"/>
        <w:numPr>
          <w:ilvl w:val="0"/>
          <w:numId w:val="2"/>
        </w:numPr>
        <w:spacing w:after="70" w:line="276"/>
      </w:pPr>
      <w:r>
        <w:rPr>
          <w:rFonts w:ascii="Calibri" w:cs="Calibri" w:eastAsia="Calibri" w:hAnsi="Calibri"/>
          <w:b/>
          <w:bCs/>
          <w:sz w:val="21"/>
          <w:szCs w:val="21"/>
        </w:rPr>
        <w:t xml:space="preserve">Bias. </w:t>
      </w:r>
      <w:r>
        <w:rPr>
          <w:rFonts w:ascii="Calibri" w:cs="Calibri" w:eastAsia="Calibri" w:hAnsi="Calibri"/>
          <w:sz w:val="21"/>
          <w:szCs w:val="21"/>
        </w:rPr>
        <w:t xml:space="preserve">Ranking is computed over skills, experience and requirements. Demographic attributes are neither extracted nor used. Because postings themselves may encode biased requirements, the explanation surfaces which requirement drove each decision, making such cases visible rather than silently propagated.</w:t>
      </w:r>
    </w:p>
    <w:p>
      <w:pPr>
        <w:pStyle w:val="ListParagraph"/>
        <w:numPr>
          <w:ilvl w:val="0"/>
          <w:numId w:val="2"/>
        </w:numPr>
        <w:spacing w:after="70" w:line="276"/>
      </w:pPr>
      <w:r>
        <w:rPr>
          <w:rFonts w:ascii="Calibri" w:cs="Calibri" w:eastAsia="Calibri" w:hAnsi="Calibri"/>
          <w:b/>
          <w:bCs/>
          <w:sz w:val="21"/>
          <w:szCs w:val="21"/>
        </w:rPr>
        <w:t xml:space="preserve">Privacy. </w:t>
      </w:r>
      <w:r>
        <w:rPr>
          <w:rFonts w:ascii="Calibri" w:cs="Calibri" w:eastAsia="Calibri" w:hAnsi="Calibri"/>
          <w:sz w:val="21"/>
          <w:szCs w:val="21"/>
        </w:rPr>
        <w:t xml:space="preserve">Résumé PII is pseudonymised locally before any external call and is not retained after the session.</w:t>
      </w:r>
    </w:p>
    <w:p>
      <w:pPr>
        <w:pStyle w:val="ListParagraph"/>
        <w:numPr>
          <w:ilvl w:val="0"/>
          <w:numId w:val="2"/>
        </w:numPr>
        <w:spacing w:after="70" w:line="276"/>
      </w:pPr>
      <w:r>
        <w:rPr>
          <w:rFonts w:ascii="Calibri" w:cs="Calibri" w:eastAsia="Calibri" w:hAnsi="Calibri"/>
          <w:b/>
          <w:bCs/>
          <w:sz w:val="21"/>
          <w:szCs w:val="21"/>
        </w:rPr>
        <w:t xml:space="preserve">Compliance. </w:t>
      </w:r>
      <w:r>
        <w:rPr>
          <w:rFonts w:ascii="Calibri" w:cs="Calibri" w:eastAsia="Calibri" w:hAnsi="Calibri"/>
          <w:sz w:val="21"/>
          <w:szCs w:val="21"/>
        </w:rPr>
        <w:t xml:space="preserve">No automated application submission; ingestion respects robots.txt and rate limits; the terms of service cited in Section 4.2.2 are treated as design constraints.</w:t>
      </w:r>
    </w:p>
    <w:p>
      <w:pPr>
        <w:pStyle w:val="ListParagraph"/>
        <w:numPr>
          <w:ilvl w:val="0"/>
          <w:numId w:val="2"/>
        </w:numPr>
        <w:spacing w:after="70" w:line="276"/>
      </w:pPr>
      <w:r>
        <w:rPr>
          <w:rFonts w:ascii="Calibri" w:cs="Calibri" w:eastAsia="Calibri" w:hAnsi="Calibri"/>
          <w:b/>
          <w:bCs/>
          <w:sz w:val="21"/>
          <w:szCs w:val="21"/>
        </w:rPr>
        <w:t xml:space="preserve">Over-reliance. </w:t>
      </w:r>
      <w:r>
        <w:rPr>
          <w:rFonts w:ascii="Calibri" w:cs="Calibri" w:eastAsia="Calibri" w:hAnsi="Calibri"/>
          <w:sz w:val="21"/>
          <w:szCs w:val="21"/>
        </w:rPr>
        <w:t xml:space="preserve">The system advises and the student decides. Every recommendation carries its reasoning, so the student is placed in a position to disagree with it — which is the practical meaning of keeping a human in the loop.</w:t>
      </w:r>
    </w:p>
    <w:p>
      <w:r>
        <w:br w:type="page"/>
      </w:r>
    </w:p>
    <w:p>
      <w:pPr>
        <w:pStyle w:val="Heading1"/>
        <w:spacing w:after="140" w:before="360"/>
      </w:pPr>
      <w:r>
        <w:rPr>
          <w:rFonts w:ascii="Calibri" w:cs="Calibri" w:eastAsia="Calibri" w:hAnsi="Calibri"/>
          <w:b/>
          <w:bCs/>
          <w:color w:val="1F3864"/>
          <w:sz w:val="30"/>
          <w:szCs w:val="30"/>
        </w:rPr>
        <w:t xml:space="preserve">9. Implementation Plan</w:t>
      </w:r>
    </w:p>
    <w:p>
      <w:pPr>
        <w:spacing w:after="120" w:line="276"/>
      </w:pPr>
      <w:r>
        <w:rPr>
          <w:rFonts w:ascii="Calibri" w:cs="Calibri" w:eastAsia="Calibri" w:hAnsi="Calibri"/>
          <w:sz w:val="21"/>
          <w:szCs w:val="21"/>
        </w:rPr>
        <w:t xml:space="preserve">Summarised here; full detail in the project plan appendix.</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Phase</w:t>
            </w:r>
          </w:p>
        </w:tc>
        <w:tc>
          <w:tcPr>
            <w:tcW w:type="dxa" w:w="17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Period</w:t>
            </w:r>
          </w:p>
        </w:tc>
        <w:tc>
          <w:tcPr>
            <w:tcW w:type="dxa" w:w="59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Deliverable</w:t>
            </w:r>
          </w:p>
        </w:tc>
      </w:tr>
      <w:tr>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Proposal</w:t>
            </w:r>
          </w:p>
        </w:tc>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to 13 Sep 2026</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Feasibility verification of data sources; proposal document and presentation; minimal end-to-end demonstration</w:t>
            </w:r>
          </w:p>
        </w:tc>
      </w:tr>
      <w:tr>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P1 Data pipeline</w:t>
            </w:r>
          </w:p>
        </w:tc>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14–20 Sep</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3,000 cleaned postings ingested; extraction implemented; extraction quality measured</w:t>
            </w:r>
          </w:p>
        </w:tc>
      </w:tr>
      <w:tr>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P2 Core reasoning</w:t>
            </w:r>
          </w:p>
        </w:tc>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21–27 Sep</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Rule engine, hybrid scoring and knowledge graph operational; end-to-end ranking with explanations via CLI</w:t>
            </w:r>
          </w:p>
        </w:tc>
      </w:tr>
      <w:tr>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P3 Generation</w:t>
            </w:r>
          </w:p>
        </w:tc>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28 Sep–4 Oct</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 rewriting with factual verification; interview retrieval; scope freeze</w:t>
            </w:r>
          </w:p>
        </w:tc>
      </w:tr>
      <w:tr>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P4 Optimisation and UI</w:t>
            </w:r>
          </w:p>
        </w:tc>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5–11 Oct</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Genetic optimiser; agent orchestration; Streamlit interface; demonstrable system</w:t>
            </w:r>
          </w:p>
        </w:tc>
      </w:tr>
      <w:tr>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P5 Evaluation</w:t>
            </w:r>
          </w:p>
        </w:tc>
        <w:tc>
          <w:tcPr>
            <w:tcW w:type="dxa" w:w="1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12–18 Oct</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All experiments executed; ablation complete; report drafted</w:t>
            </w:r>
          </w:p>
        </w:tc>
      </w:tr>
      <w:tr>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P6 Delivery</w:t>
            </w:r>
          </w:p>
        </w:tc>
        <w:tc>
          <w:tcPr>
            <w:tcW w:type="dxa" w:w="1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19–25 Oct</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Videos recorded (narration by team members, not AI-generated); user guide; repository packaged and submitted</w:t>
            </w:r>
          </w:p>
        </w:tc>
      </w:tr>
    </w:tbl>
    <w:p>
      <w:pPr>
        <w:pStyle w:val="Heading1"/>
        <w:spacing w:after="140" w:before="360"/>
      </w:pPr>
      <w:r>
        <w:rPr>
          <w:rFonts w:ascii="Calibri" w:cs="Calibri" w:eastAsia="Calibri" w:hAnsi="Calibri"/>
          <w:b/>
          <w:bCs/>
          <w:color w:val="1F3864"/>
          <w:sz w:val="30"/>
          <w:szCs w:val="30"/>
        </w:rPr>
        <w:t xml:space="preserve">10. Evaluation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300"/>
        <w:gridCol w:w="3560"/>
      </w:tblGrid>
      <w:tr>
        <w:trPr>
          <w:tblHeader/>
        </w:trPr>
        <w:tc>
          <w:tcPr>
            <w:tcW w:type="dxa" w:w="6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ID</w:t>
            </w:r>
          </w:p>
        </w:tc>
        <w:tc>
          <w:tcPr>
            <w:tcW w:type="dxa" w:w="19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Experiment</w:t>
            </w:r>
          </w:p>
        </w:tc>
        <w:tc>
          <w:tcPr>
            <w:tcW w:type="dxa" w:w="330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Comparison</w:t>
            </w:r>
          </w:p>
        </w:tc>
        <w:tc>
          <w:tcPr>
            <w:tcW w:type="dxa" w:w="3560"/>
            <w:shd w:fill="DEEAF6"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Metrics</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E1</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Extraction quality</w:t>
            </w:r>
          </w:p>
        </w:tc>
        <w:tc>
          <w:tcPr>
            <w:tcW w:type="dxa" w:w="33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Dictionary only vs dictionary plus LLM fallback</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Precision, recall, F1 over 200 annotated postings</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E2</w:t>
            </w:r>
          </w:p>
        </w:tc>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Ranking quality</w:t>
            </w:r>
          </w:p>
        </w:tc>
        <w:tc>
          <w:tcPr>
            <w:tcW w:type="dxa" w:w="3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TF-IDF cosine; whole-document SBERT cosine; per-dimension hybrid; hybrid plus KG</w:t>
            </w:r>
          </w:p>
        </w:tc>
        <w:tc>
          <w:tcPr>
            <w:tcW w:type="dxa" w:w="3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Precision@5, Precision@10, NDCG@10, MAP</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E3</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Weight calibration and ablation</w:t>
            </w:r>
          </w:p>
        </w:tc>
        <w:tc>
          <w:tcPr>
            <w:tcW w:type="dxa" w:w="33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Grid search; removal of each scoring term</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NDCG@10 surface; per-term ablation deltas</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E4</w:t>
            </w:r>
          </w:p>
        </w:tc>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Value of the rule engine</w:t>
            </w:r>
          </w:p>
        </w:tc>
        <w:tc>
          <w:tcPr>
            <w:tcW w:type="dxa" w:w="3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With and without pre-filtering</w:t>
            </w:r>
          </w:p>
        </w:tc>
        <w:tc>
          <w:tcPr>
            <w:tcW w:type="dxa" w:w="3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Proportion of ineligible postings in top 10; candidate-set reduction; end-to-end latency</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E5</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Factual consistency</w:t>
            </w:r>
          </w:p>
        </w:tc>
        <w:tc>
          <w:tcPr>
            <w:tcW w:type="dxa" w:w="33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Unconstrained prompting vs constrained rewriting with verification</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Hallucination rate over 100 adjudicated bullets; JD keyword coverage gain; semantic fidelity</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E6</w:t>
            </w:r>
          </w:p>
        </w:tc>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Optimiser performance</w:t>
            </w:r>
          </w:p>
        </w:tc>
        <w:tc>
          <w:tcPr>
            <w:tcW w:type="dxa" w:w="3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Greedy top-K; A* on small instances; GA across parameter settings</w:t>
            </w:r>
          </w:p>
        </w:tc>
        <w:tc>
          <w:tcPr>
            <w:tcW w:type="dxa" w:w="35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Expected value within budget; convergence curves; optimality gap; parameter sensitivity</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E7</w:t>
            </w:r>
          </w:p>
        </w:tc>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End-to-end usability</w:t>
            </w:r>
          </w:p>
        </w:tc>
        <w:tc>
          <w:tcPr>
            <w:tcW w:type="dxa" w:w="33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t>
            </w:r>
          </w:p>
        </w:tc>
        <w:tc>
          <w:tcPr>
            <w:tcW w:type="dxa" w:w="3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Task completion rate; end-to-end latency; SUS score and explanation-comprehensibility rating from 5 student testers</w:t>
            </w:r>
          </w:p>
        </w:tc>
      </w:tr>
    </w:tbl>
    <w:p>
      <w:pPr>
        <w:pStyle w:val="Heading1"/>
        <w:spacing w:after="140" w:before="360"/>
      </w:pPr>
      <w:r>
        <w:rPr>
          <w:rFonts w:ascii="Calibri" w:cs="Calibri" w:eastAsia="Calibri" w:hAnsi="Calibri"/>
          <w:b/>
          <w:bCs/>
          <w:color w:val="1F3864"/>
          <w:sz w:val="30"/>
          <w:szCs w:val="30"/>
        </w:rPr>
        <w:t xml:space="preserve">11. Challenges and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Risk</w:t>
            </w:r>
          </w:p>
        </w:tc>
        <w:tc>
          <w:tcPr>
            <w:tcW w:type="dxa" w:w="100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Severity</w:t>
            </w:r>
          </w:p>
        </w:tc>
        <w:tc>
          <w:tcPr>
            <w:tcW w:type="dxa" w:w="5960"/>
            <w:shd w:fill="DEEAF6"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Mitigation</w:t>
            </w:r>
          </w:p>
        </w:tc>
      </w:tr>
      <w:tr>
        <w:tc>
          <w:tcPr>
            <w:tcW w:type="dxa" w:w="24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Job data access restricted or unavailable</w:t>
            </w:r>
          </w:p>
        </w:tc>
        <w:tc>
          <w:tcPr>
            <w:tcW w:type="dxa" w:w="10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High</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 datasets are the primary source; no deliverable depends on any live endpoint. Crawling is limited, rate-limited and demonstrative only.</w:t>
            </w:r>
          </w:p>
        </w:tc>
      </w:tr>
      <w:tr>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 ground-truth outcome labels</w:t>
            </w:r>
          </w:p>
        </w:tc>
        <w:tc>
          <w:tcPr>
            <w:tcW w:type="dxa" w:w="1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High</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Three proxy labelling strategies with reported inter-strategy agreement (Section 7.6); evaluation targets ranking quality, not conversion.</w:t>
            </w:r>
          </w:p>
        </w:tc>
      </w:tr>
      <w:tr>
        <w:tc>
          <w:tcPr>
            <w:tcW w:type="dxa" w:w="24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Language model fabricates experience</w:t>
            </w:r>
          </w:p>
        </w:tc>
        <w:tc>
          <w:tcPr>
            <w:tcW w:type="dxa" w:w="10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High</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Constrained generation, automated verification, fallback to original; measured under E5.</w:t>
            </w:r>
          </w:p>
        </w:tc>
      </w:tr>
      <w:tr>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ESCO terminology diverges from posting terminology</w:t>
            </w:r>
          </w:p>
        </w:tc>
        <w:tc>
          <w:tcPr>
            <w:tcW w:type="dxa" w:w="1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Medium</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Alias tables plus knowledge graph embedding link prediction to complete the graph.</w:t>
            </w:r>
          </w:p>
        </w:tc>
      </w:tr>
      <w:tr>
        <w:tc>
          <w:tcPr>
            <w:tcW w:type="dxa" w:w="24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Scope exceeds available effort</w:t>
            </w:r>
          </w:p>
        </w:tc>
        <w:tc>
          <w:tcPr>
            <w:tcW w:type="dxa" w:w="10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Medium</w:t>
            </w:r>
          </w:p>
        </w:tc>
        <w:tc>
          <w:tcPr>
            <w:tcW w:type="dxa" w:w="596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Exclusions fixed in Section 5.2; scope freeze checkpoint at the end of week 3.</w:t>
            </w:r>
          </w:p>
        </w:tc>
      </w:tr>
      <w:tr>
        <w:tc>
          <w:tcPr>
            <w:tcW w:type="dxa" w:w="24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Résumé PII exposure</w:t>
            </w:r>
          </w:p>
        </w:tc>
        <w:tc>
          <w:tcPr>
            <w:tcW w:type="dxa" w:w="10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Medium</w:t>
            </w:r>
          </w:p>
        </w:tc>
        <w:tc>
          <w:tcPr>
            <w:tcW w:type="dxa" w:w="596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Local pseudonymisation before any external call; no session persistence.</w:t>
            </w:r>
          </w:p>
        </w:tc>
      </w:tr>
    </w:tbl>
    <w:p>
      <w:pPr>
        <w:pStyle w:val="Heading1"/>
        <w:spacing w:after="140" w:before="360"/>
      </w:pPr>
      <w:r>
        <w:rPr>
          <w:rFonts w:ascii="Calibri" w:cs="Calibri" w:eastAsia="Calibri" w:hAnsi="Calibri"/>
          <w:b/>
          <w:bCs/>
          <w:color w:val="1F3864"/>
          <w:sz w:val="30"/>
          <w:szCs w:val="30"/>
        </w:rPr>
        <w:t xml:space="preserve">12. Future Work</w:t>
      </w:r>
    </w:p>
    <w:p>
      <w:pPr>
        <w:pStyle w:val="ListParagraph"/>
        <w:numPr>
          <w:ilvl w:val="0"/>
          <w:numId w:val="2"/>
        </w:numPr>
        <w:spacing w:after="70" w:line="276"/>
      </w:pPr>
      <w:r>
        <w:rPr>
          <w:rFonts w:ascii="Calibri" w:cs="Calibri" w:eastAsia="Calibri" w:hAnsi="Calibri"/>
          <w:sz w:val="21"/>
          <w:szCs w:val="21"/>
        </w:rPr>
        <w:t xml:space="preserve">Incremental ingestion from live sources where terms permit, with scheduled refresh.</w:t>
      </w:r>
    </w:p>
    <w:p>
      <w:pPr>
        <w:pStyle w:val="ListParagraph"/>
        <w:numPr>
          <w:ilvl w:val="0"/>
          <w:numId w:val="2"/>
        </w:numPr>
        <w:spacing w:after="70" w:line="276"/>
      </w:pPr>
      <w:r>
        <w:rPr>
          <w:rFonts w:ascii="Calibri" w:cs="Calibri" w:eastAsia="Calibri" w:hAnsi="Calibri"/>
          <w:sz w:val="21"/>
          <w:szCs w:val="21"/>
        </w:rPr>
        <w:t xml:space="preserve">Extension to further IT sub-domains: QA engineering, database engineering, cloud security engineering.</w:t>
      </w:r>
    </w:p>
    <w:p>
      <w:pPr>
        <w:pStyle w:val="ListParagraph"/>
        <w:numPr>
          <w:ilvl w:val="0"/>
          <w:numId w:val="2"/>
        </w:numPr>
        <w:spacing w:after="70" w:line="276"/>
      </w:pPr>
      <w:r>
        <w:rPr>
          <w:rFonts w:ascii="Calibri" w:cs="Calibri" w:eastAsia="Calibri" w:hAnsi="Calibri"/>
          <w:sz w:val="21"/>
          <w:szCs w:val="21"/>
        </w:rPr>
        <w:t xml:space="preserve">Cover letter generation under the same factual constraints as résumé rewriting.</w:t>
      </w:r>
    </w:p>
    <w:p>
      <w:pPr>
        <w:pStyle w:val="ListParagraph"/>
        <w:numPr>
          <w:ilvl w:val="0"/>
          <w:numId w:val="2"/>
        </w:numPr>
        <w:spacing w:after="70" w:line="276"/>
      </w:pPr>
      <w:r>
        <w:rPr>
          <w:rFonts w:ascii="Calibri" w:cs="Calibri" w:eastAsia="Calibri" w:hAnsi="Calibri"/>
          <w:sz w:val="21"/>
          <w:szCs w:val="21"/>
        </w:rPr>
        <w:t xml:space="preserve">Mock interview dialogue generated from the retrieved preparation pack.</w:t>
      </w:r>
    </w:p>
    <w:p>
      <w:pPr>
        <w:pStyle w:val="ListParagraph"/>
        <w:numPr>
          <w:ilvl w:val="0"/>
          <w:numId w:val="2"/>
        </w:numPr>
        <w:spacing w:after="70" w:line="276"/>
      </w:pPr>
      <w:r>
        <w:rPr>
          <w:rFonts w:ascii="Calibri" w:cs="Calibri" w:eastAsia="Calibri" w:hAnsi="Calibri"/>
          <w:sz w:val="21"/>
          <w:szCs w:val="21"/>
        </w:rPr>
        <w:t xml:space="preserve">Replacement of proxy labels with real application outcomes as users accumulate history, closing the learning loop.</w:t>
      </w:r>
    </w:p>
    <w:p>
      <w:pPr>
        <w:pStyle w:val="ListParagraph"/>
        <w:numPr>
          <w:ilvl w:val="0"/>
          <w:numId w:val="2"/>
        </w:numPr>
        <w:spacing w:after="70" w:line="276"/>
      </w:pPr>
      <w:r>
        <w:rPr>
          <w:rFonts w:ascii="Calibri" w:cs="Calibri" w:eastAsia="Calibri" w:hAnsi="Calibri"/>
          <w:sz w:val="21"/>
          <w:szCs w:val="21"/>
        </w:rPr>
        <w:t xml:space="preserve">Bilingual support for Chinese-language résumés and postings.</w:t>
      </w:r>
    </w:p>
    <w:p>
      <w:pPr>
        <w:pStyle w:val="ListParagraph"/>
        <w:numPr>
          <w:ilvl w:val="0"/>
          <w:numId w:val="2"/>
        </w:numPr>
        <w:spacing w:after="70" w:line="276"/>
      </w:pPr>
      <w:r>
        <w:rPr>
          <w:rFonts w:ascii="Calibri" w:cs="Calibri" w:eastAsia="Calibri" w:hAnsi="Calibri"/>
          <w:sz w:val="21"/>
          <w:szCs w:val="21"/>
        </w:rPr>
        <w:t xml:space="preserve">A mentor-facing view enabling career advisors to review and annotate a student's shortlist.</w:t>
      </w:r>
    </w:p>
    <w:p>
      <w:pPr>
        <w:pStyle w:val="Heading1"/>
        <w:spacing w:after="140" w:before="360"/>
      </w:pPr>
      <w:r>
        <w:rPr>
          <w:rFonts w:ascii="Calibri" w:cs="Calibri" w:eastAsia="Calibri" w:hAnsi="Calibri"/>
          <w:b/>
          <w:bCs/>
          <w:color w:val="1F3864"/>
          <w:sz w:val="30"/>
          <w:szCs w:val="30"/>
        </w:rPr>
        <w:t xml:space="preserve">13. Conclusion</w:t>
      </w:r>
    </w:p>
    <w:p>
      <w:pPr>
        <w:spacing w:after="120" w:line="276"/>
      </w:pPr>
      <w:r>
        <w:rPr>
          <w:rFonts w:ascii="Calibri" w:cs="Calibri" w:eastAsia="Calibri" w:hAnsi="Calibri"/>
          <w:sz w:val="21"/>
          <w:szCs w:val="21"/>
        </w:rPr>
        <w:t xml:space="preserve">The Singapore data describes a labour market in which employers leave technology roles unfilled for six months at a time while computing graduates record below-average placement despite the highest median starting salary of any field. That is a matching failure, and matching failures are the problem class that intelligent reasoning systems address.</w:t>
      </w:r>
    </w:p>
    <w:p>
      <w:pPr>
        <w:spacing w:after="120" w:line="276"/>
      </w:pPr>
      <w:r>
        <w:rPr>
          <w:rFonts w:ascii="Calibri" w:cs="Calibri" w:eastAsia="Calibri" w:hAnsi="Calibri"/>
          <w:sz w:val="21"/>
          <w:szCs w:val="21"/>
        </w:rPr>
        <w:t xml:space="preserve">IT CareerPilot decomposes the failure into four sub-problems and assigns each to the technique genuinely suited to it: rules govern admission, statistical models govern ranking, a knowledge graph governs understanding, and evolutionary optimisation governs the allocation of scarce effort. An agent coordinates them, and every stage records the provenance that makes the result explainable after the fact.</w:t>
      </w:r>
    </w:p>
    <w:p>
      <w:pPr>
        <w:spacing w:after="120" w:line="276"/>
      </w:pPr>
      <w:r>
        <w:rPr>
          <w:rFonts w:ascii="Calibri" w:cs="Calibri" w:eastAsia="Calibri" w:hAnsi="Calibri"/>
          <w:sz w:val="21"/>
          <w:szCs w:val="21"/>
        </w:rPr>
        <w:t xml:space="preserve">The wider claim the project tests is this: in a decision setting with hard constraints, sparse feedback and a genuine need for explanation, a hybrid reasoning system is more reliable, more auditable and more likely to be trusted than an end-to-end language model — and the discipline required to build one is what converts a plausible demonstration into a system a student could actually rely on.</w:t>
      </w:r>
    </w:p>
    <w:p>
      <w:pPr>
        <w:pStyle w:val="Heading1"/>
        <w:spacing w:after="140" w:before="360"/>
      </w:pPr>
      <w:r>
        <w:rPr>
          <w:rFonts w:ascii="Calibri" w:cs="Calibri" w:eastAsia="Calibri" w:hAnsi="Calibri"/>
          <w:b/>
          <w:bCs/>
          <w:color w:val="1F3864"/>
          <w:sz w:val="30"/>
          <w:szCs w:val="30"/>
        </w:rPr>
        <w:t xml:space="preserve">14. Supplementary Materials</w:t>
      </w:r>
    </w:p>
    <w:p>
      <w:pPr>
        <w:pStyle w:val="Heading2"/>
        <w:spacing w:after="140" w:before="240"/>
      </w:pPr>
      <w:r>
        <w:rPr>
          <w:rFonts w:ascii="Calibri" w:cs="Calibri" w:eastAsia="Calibri" w:hAnsi="Calibri"/>
          <w:b/>
          <w:bCs/>
          <w:color w:val="1F3864"/>
          <w:sz w:val="25"/>
          <w:szCs w:val="25"/>
        </w:rPr>
        <w:t xml:space="preserve">Appendix A — Declaration on the Use of AI</w:t>
      </w:r>
    </w:p>
    <w:p>
      <w:pPr>
        <w:spacing w:after="120" w:line="276"/>
      </w:pPr>
      <w:r>
        <w:rPr>
          <w:rFonts w:ascii="Calibri" w:cs="Calibri" w:eastAsia="Calibri" w:hAnsi="Calibri"/>
          <w:sz w:val="21"/>
          <w:szCs w:val="21"/>
        </w:rPr>
        <w:t xml:space="preserve">AI tools were used in this project for literature search assistance, code completion and document editing, and as system components through LLM API calls for extraction fallback, résumé rewriting and agent orchestration. All experimental data, human annotations and conclusions were produced and verified by team members. Presentation video narration is recorded by team members; AI-generated presentation speech is not used, in accordance with the module briefing.</w:t>
      </w:r>
    </w:p>
    <w:p>
      <w:pPr>
        <w:pStyle w:val="Heading2"/>
        <w:spacing w:after="140" w:before="240"/>
      </w:pPr>
      <w:r>
        <w:rPr>
          <w:rFonts w:ascii="Calibri" w:cs="Calibri" w:eastAsia="Calibri" w:hAnsi="Calibri"/>
          <w:b/>
          <w:bCs/>
          <w:color w:val="1F3864"/>
          <w:sz w:val="25"/>
          <w:szCs w:val="25"/>
        </w:rPr>
        <w:t xml:space="preserve">Appendix B — Data Sources and Compliance</w:t>
      </w:r>
    </w:p>
    <w:p>
      <w:pPr>
        <w:spacing w:after="120" w:line="276"/>
      </w:pPr>
      <w:r>
        <w:rPr>
          <w:rFonts w:ascii="Calibri" w:cs="Calibri" w:eastAsia="Calibri" w:hAnsi="Calibri"/>
          <w:sz w:val="21"/>
          <w:szCs w:val="21"/>
        </w:rPr>
        <w:t xml:space="preserve">Job data is drawn from open datasets and a limited crawl of company career pages conducted in accordance with robots.txt and a one-request-per-second rate limit. Résumé data is pseudonymised before use. The system does not perform automated application submission. Platform terms of service quoted in Section 4.2.2 are treated as binding design constraints.</w:t>
      </w:r>
    </w:p>
    <w:p>
      <w:pPr>
        <w:pStyle w:val="Heading2"/>
        <w:spacing w:after="140" w:before="240"/>
      </w:pPr>
      <w:r>
        <w:rPr>
          <w:rFonts w:ascii="Calibri" w:cs="Calibri" w:eastAsia="Calibri" w:hAnsi="Calibri"/>
          <w:b/>
          <w:bCs/>
          <w:color w:val="1F3864"/>
          <w:sz w:val="25"/>
          <w:szCs w:val="25"/>
        </w:rPr>
        <w:t xml:space="preserve">Appendix C — Further Appendices</w:t>
      </w:r>
    </w:p>
    <w:p>
      <w:pPr>
        <w:pStyle w:val="ListParagraph"/>
        <w:numPr>
          <w:ilvl w:val="0"/>
          <w:numId w:val="2"/>
        </w:numPr>
        <w:spacing w:after="70" w:line="276"/>
      </w:pPr>
      <w:r>
        <w:rPr>
          <w:rFonts w:ascii="Calibri" w:cs="Calibri" w:eastAsia="Calibri" w:hAnsi="Calibri"/>
          <w:sz w:val="21"/>
          <w:szCs w:val="21"/>
        </w:rPr>
        <w:t xml:space="preserve">ESCO skill taxonomy excerpt used in the knowledge graph.</w:t>
      </w:r>
    </w:p>
    <w:p>
      <w:pPr>
        <w:pStyle w:val="ListParagraph"/>
        <w:numPr>
          <w:ilvl w:val="0"/>
          <w:numId w:val="2"/>
        </w:numPr>
        <w:spacing w:after="70" w:line="276"/>
      </w:pPr>
      <w:r>
        <w:rPr>
          <w:rFonts w:ascii="Calibri" w:cs="Calibri" w:eastAsia="Calibri" w:hAnsi="Calibri"/>
          <w:sz w:val="21"/>
          <w:szCs w:val="21"/>
        </w:rPr>
        <w:t xml:space="preserve">Full-resolution system architecture diagram.</w:t>
      </w:r>
    </w:p>
    <w:p>
      <w:pPr>
        <w:pStyle w:val="ListParagraph"/>
        <w:numPr>
          <w:ilvl w:val="0"/>
          <w:numId w:val="2"/>
        </w:numPr>
        <w:spacing w:after="70" w:line="276"/>
      </w:pPr>
      <w:r>
        <w:rPr>
          <w:rFonts w:ascii="Calibri" w:cs="Calibri" w:eastAsia="Calibri" w:hAnsi="Calibri"/>
          <w:sz w:val="21"/>
          <w:szCs w:val="21"/>
        </w:rPr>
        <w:t xml:space="preserve">Interface wireframes.</w:t>
      </w:r>
    </w:p>
    <w:p>
      <w:pPr>
        <w:pStyle w:val="ListParagraph"/>
        <w:numPr>
          <w:ilvl w:val="0"/>
          <w:numId w:val="2"/>
        </w:numPr>
        <w:spacing w:after="70" w:line="276"/>
      </w:pPr>
      <w:r>
        <w:rPr>
          <w:rFonts w:ascii="Calibri" w:cs="Calibri" w:eastAsia="Calibri" w:hAnsi="Calibri"/>
          <w:sz w:val="21"/>
          <w:szCs w:val="21"/>
        </w:rPr>
        <w:t xml:space="preserve">Complete competitor analysis with access dates.</w:t>
      </w:r>
    </w:p>
    <w:p>
      <w:pPr>
        <w:pStyle w:val="ListParagraph"/>
        <w:numPr>
          <w:ilvl w:val="0"/>
          <w:numId w:val="2"/>
        </w:numPr>
        <w:spacing w:after="70" w:line="276"/>
      </w:pPr>
      <w:r>
        <w:rPr>
          <w:rFonts w:ascii="Calibri" w:cs="Calibri" w:eastAsia="Calibri" w:hAnsi="Calibri"/>
          <w:sz w:val="21"/>
          <w:szCs w:val="21"/>
        </w:rPr>
        <w:t xml:space="preserve">Acknowledgements.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e74b9a51d6f4cc496db7d9c346f208cadd45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 IRS Practice Module Project Proposal</dc:title>
  <dc:creator>IT CareerPilot Project Team</dc:creator>
  <cp:lastModifiedBy>Un-named</cp:lastModifiedBy>
  <cp:revision>1</cp:revision>
  <dcterms:created xsi:type="dcterms:W3CDTF">2026-09-02T06:40:21.242Z</dcterms:created>
  <dcterms:modified xsi:type="dcterms:W3CDTF">2026-09-02T06:40:21.242Z</dcterms:modified>
</cp:coreProperties>
</file>

<file path=docProps/custom.xml><?xml version="1.0" encoding="utf-8"?>
<Properties xmlns="http://schemas.openxmlformats.org/officeDocument/2006/custom-properties" xmlns:vt="http://schemas.openxmlformats.org/officeDocument/2006/docPropsVTypes"/>
</file>